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28762" w14:textId="77777777" w:rsidR="00676E45" w:rsidRDefault="00676E45" w:rsidP="00F64FDA">
      <w:pPr>
        <w:jc w:val="center"/>
      </w:pPr>
      <w:r>
        <w:fldChar w:fldCharType="begin">
          <w:ffData>
            <w:name w:val=""/>
            <w:enabled/>
            <w:calcOnExit w:val="0"/>
            <w:statusText w:type="text" w:val="Dokumento data: MMMM mm dd"/>
            <w:textInput/>
          </w:ffData>
        </w:fldChar>
      </w:r>
      <w:r>
        <w:instrText xml:space="preserve"> FORMTEXT </w:instrText>
      </w:r>
      <w:r>
        <w:fldChar w:fldCharType="separate"/>
      </w:r>
      <w:r w:rsidR="00D925FB">
        <w:rPr>
          <w:noProof/>
        </w:rPr>
        <w:t> </w:t>
      </w:r>
      <w:r w:rsidR="00D925FB">
        <w:rPr>
          <w:noProof/>
        </w:rPr>
        <w:t> </w:t>
      </w:r>
      <w:r w:rsidR="00D925FB">
        <w:rPr>
          <w:noProof/>
        </w:rPr>
        <w:t> </w:t>
      </w:r>
      <w:r w:rsidR="00D925FB">
        <w:rPr>
          <w:noProof/>
        </w:rPr>
        <w:t> </w:t>
      </w:r>
      <w:r w:rsidR="00D925FB">
        <w:rPr>
          <w:noProof/>
        </w:rPr>
        <w:t> </w:t>
      </w:r>
      <w:r>
        <w:fldChar w:fldCharType="end"/>
      </w:r>
    </w:p>
    <w:p w14:paraId="5A928763" w14:textId="77777777" w:rsidR="00676E45" w:rsidRDefault="00676E45">
      <w:pPr>
        <w:jc w:val="center"/>
      </w:pPr>
    </w:p>
    <w:p w14:paraId="5A928764" w14:textId="77777777" w:rsidR="00676E45" w:rsidRDefault="000E6336">
      <w:pPr>
        <w:jc w:val="center"/>
      </w:pPr>
      <w:r>
        <w:rPr>
          <w:noProof/>
        </w:rPr>
        <w:drawing>
          <wp:inline distT="0" distB="0" distL="0" distR="0" wp14:anchorId="5A9287A7" wp14:editId="5A9287A8">
            <wp:extent cx="595630" cy="627380"/>
            <wp:effectExtent l="0" t="0" r="0" b="127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630" cy="627380"/>
                    </a:xfrm>
                    <a:prstGeom prst="rect">
                      <a:avLst/>
                    </a:prstGeom>
                    <a:noFill/>
                    <a:ln>
                      <a:noFill/>
                    </a:ln>
                  </pic:spPr>
                </pic:pic>
              </a:graphicData>
            </a:graphic>
          </wp:inline>
        </w:drawing>
      </w:r>
    </w:p>
    <w:p w14:paraId="5A928765" w14:textId="77777777" w:rsidR="00676E45" w:rsidRDefault="00676E45">
      <w:pPr>
        <w:jc w:val="center"/>
        <w:rPr>
          <w:b/>
        </w:rPr>
      </w:pPr>
      <w:r>
        <w:rPr>
          <w:b/>
        </w:rPr>
        <w:t>LIETUVOS RESPUBLIKOS FINANSŲ MINISTERIJA</w:t>
      </w:r>
    </w:p>
    <w:p w14:paraId="5A928766" w14:textId="77777777" w:rsidR="00676E45" w:rsidRDefault="00676E45">
      <w:pPr>
        <w:jc w:val="center"/>
      </w:pPr>
    </w:p>
    <w:p w14:paraId="5A928767" w14:textId="77777777" w:rsidR="00676E45" w:rsidRDefault="00676E45">
      <w:pPr>
        <w:jc w:val="center"/>
      </w:pPr>
    </w:p>
    <w:p w14:paraId="5A928768" w14:textId="77777777" w:rsidR="00676E45" w:rsidRDefault="00676E45">
      <w:pPr>
        <w:jc w:val="center"/>
      </w:pPr>
    </w:p>
    <w:p w14:paraId="5A928769" w14:textId="77777777" w:rsidR="00676E45" w:rsidRDefault="00676E45">
      <w:pPr>
        <w:jc w:val="center"/>
        <w:sectPr w:rsidR="00676E45">
          <w:headerReference w:type="even" r:id="rId9"/>
          <w:headerReference w:type="default" r:id="rId10"/>
          <w:footerReference w:type="default" r:id="rId11"/>
          <w:headerReference w:type="first" r:id="rId12"/>
          <w:footerReference w:type="first" r:id="rId13"/>
          <w:type w:val="continuous"/>
          <w:pgSz w:w="11906" w:h="16838" w:code="9"/>
          <w:pgMar w:top="567" w:right="567" w:bottom="992" w:left="1701" w:header="561" w:footer="567" w:gutter="0"/>
          <w:pgNumType w:start="1"/>
          <w:cols w:space="1296"/>
          <w:titlePg/>
        </w:sectPr>
      </w:pPr>
    </w:p>
    <w:tbl>
      <w:tblPr>
        <w:tblW w:w="9747" w:type="dxa"/>
        <w:tblLayout w:type="fixed"/>
        <w:tblLook w:val="0000" w:firstRow="0" w:lastRow="0" w:firstColumn="0" w:lastColumn="0" w:noHBand="0" w:noVBand="0"/>
      </w:tblPr>
      <w:tblGrid>
        <w:gridCol w:w="4927"/>
        <w:gridCol w:w="4820"/>
      </w:tblGrid>
      <w:tr w:rsidR="00676E45" w14:paraId="5A928777" w14:textId="77777777" w:rsidTr="00F24EC4">
        <w:tc>
          <w:tcPr>
            <w:tcW w:w="4927" w:type="dxa"/>
          </w:tcPr>
          <w:p w14:paraId="5A92876A" w14:textId="77777777" w:rsidR="00FB0D4E" w:rsidRDefault="00FB0D4E" w:rsidP="00524AAC">
            <w:pPr>
              <w:rPr>
                <w:szCs w:val="24"/>
              </w:rPr>
            </w:pPr>
            <w:permStart w:id="1426130135" w:edGrp="everyone"/>
            <w:r>
              <w:rPr>
                <w:szCs w:val="24"/>
              </w:rPr>
              <w:t xml:space="preserve">Žemės ūkio ministerijai </w:t>
            </w:r>
          </w:p>
          <w:p w14:paraId="5A92876B" w14:textId="77777777" w:rsidR="00FB0D4E" w:rsidRDefault="00FB0D4E" w:rsidP="00524AAC">
            <w:pPr>
              <w:rPr>
                <w:szCs w:val="24"/>
              </w:rPr>
            </w:pPr>
          </w:p>
          <w:p w14:paraId="5A92876C" w14:textId="77777777" w:rsidR="00FB0D4E" w:rsidRDefault="00FB0D4E" w:rsidP="00524AAC">
            <w:pPr>
              <w:rPr>
                <w:szCs w:val="24"/>
              </w:rPr>
            </w:pPr>
          </w:p>
          <w:p w14:paraId="5A92876D" w14:textId="77777777" w:rsidR="00FB0D4E" w:rsidRDefault="00FB0D4E" w:rsidP="00524AAC">
            <w:pPr>
              <w:rPr>
                <w:szCs w:val="24"/>
              </w:rPr>
            </w:pPr>
            <w:r>
              <w:rPr>
                <w:szCs w:val="24"/>
              </w:rPr>
              <w:t>Kopija</w:t>
            </w:r>
          </w:p>
          <w:p w14:paraId="5A92876E" w14:textId="77777777" w:rsidR="00524AAC" w:rsidRDefault="00524AAC" w:rsidP="00524AAC">
            <w:pPr>
              <w:rPr>
                <w:szCs w:val="24"/>
              </w:rPr>
            </w:pPr>
            <w:r>
              <w:rPr>
                <w:szCs w:val="24"/>
              </w:rPr>
              <w:t>Lietuvos Respublikos Vyriausybės kanceliarijai</w:t>
            </w:r>
          </w:p>
          <w:p w14:paraId="5A92876F" w14:textId="77777777" w:rsidR="001C1100" w:rsidRDefault="001C1100" w:rsidP="00524AAC">
            <w:pPr>
              <w:rPr>
                <w:szCs w:val="24"/>
              </w:rPr>
            </w:pPr>
          </w:p>
          <w:p w14:paraId="5A928770" w14:textId="77777777" w:rsidR="00676E45" w:rsidRDefault="00676E45" w:rsidP="003860D6"/>
        </w:tc>
        <w:tc>
          <w:tcPr>
            <w:tcW w:w="4820" w:type="dxa"/>
          </w:tcPr>
          <w:p w14:paraId="5A928771" w14:textId="77777777" w:rsidR="00524AAC" w:rsidRPr="00FB0D4E" w:rsidRDefault="00FB0D4E">
            <w:pPr>
              <w:rPr>
                <w:szCs w:val="24"/>
              </w:rPr>
            </w:pPr>
            <w:r w:rsidRPr="00FB0D4E">
              <w:rPr>
                <w:szCs w:val="24"/>
              </w:rPr>
              <w:t xml:space="preserve">Į </w:t>
            </w:r>
            <w:r w:rsidRPr="00FB0D4E">
              <w:rPr>
                <w:color w:val="000000"/>
                <w:szCs w:val="24"/>
              </w:rPr>
              <w:t>2020-1</w:t>
            </w:r>
            <w:r w:rsidRPr="00FB0D4E">
              <w:rPr>
                <w:color w:val="000000"/>
                <w:szCs w:val="24"/>
                <w:lang w:val="en-GB"/>
              </w:rPr>
              <w:t>2</w:t>
            </w:r>
            <w:r w:rsidRPr="00FB0D4E">
              <w:rPr>
                <w:color w:val="000000"/>
                <w:szCs w:val="24"/>
              </w:rPr>
              <w:t>-17 Nr. 2D-3794 (12.188 E)</w:t>
            </w:r>
          </w:p>
          <w:p w14:paraId="5A928772" w14:textId="77777777" w:rsidR="00676E45" w:rsidRDefault="00676E45"/>
          <w:p w14:paraId="5A928773" w14:textId="77777777" w:rsidR="00FB0D4E" w:rsidRDefault="00FB0D4E"/>
          <w:p w14:paraId="5A928774" w14:textId="77777777" w:rsidR="00FB0D4E" w:rsidRDefault="00FB0D4E"/>
          <w:p w14:paraId="5A928775" w14:textId="77777777" w:rsidR="00FB0D4E" w:rsidRPr="00FB0D4E" w:rsidRDefault="00FB0D4E" w:rsidP="00FB0D4E">
            <w:r>
              <w:t xml:space="preserve">Į </w:t>
            </w:r>
            <w:r w:rsidRPr="002308BC">
              <w:rPr>
                <w:color w:val="000000"/>
                <w:szCs w:val="24"/>
              </w:rPr>
              <w:t>2020-1</w:t>
            </w:r>
            <w:r>
              <w:rPr>
                <w:color w:val="000000"/>
                <w:szCs w:val="24"/>
                <w:lang w:val="en-GB"/>
              </w:rPr>
              <w:t>2</w:t>
            </w:r>
            <w:r w:rsidRPr="002308BC">
              <w:rPr>
                <w:color w:val="000000"/>
                <w:szCs w:val="24"/>
              </w:rPr>
              <w:t>-</w:t>
            </w:r>
            <w:r>
              <w:rPr>
                <w:color w:val="000000"/>
                <w:szCs w:val="24"/>
              </w:rPr>
              <w:t>1</w:t>
            </w:r>
            <w:r>
              <w:rPr>
                <w:color w:val="000000"/>
                <w:szCs w:val="24"/>
                <w:lang w:val="en-GB"/>
              </w:rPr>
              <w:t>6</w:t>
            </w:r>
            <w:r w:rsidRPr="002308BC">
              <w:rPr>
                <w:color w:val="000000"/>
                <w:szCs w:val="24"/>
              </w:rPr>
              <w:t xml:space="preserve"> Nr.</w:t>
            </w:r>
            <w:r>
              <w:rPr>
                <w:color w:val="000000"/>
                <w:szCs w:val="24"/>
              </w:rPr>
              <w:t xml:space="preserve"> S-5022</w:t>
            </w:r>
          </w:p>
          <w:p w14:paraId="5A928776" w14:textId="77777777" w:rsidR="00FB0D4E" w:rsidRDefault="00FB0D4E"/>
        </w:tc>
      </w:tr>
      <w:tr w:rsidR="00C612D0" w:rsidRPr="00EE32E8" w14:paraId="5A928779" w14:textId="77777777" w:rsidTr="00BD6FD8">
        <w:trPr>
          <w:cantSplit/>
          <w:trHeight w:val="629"/>
        </w:trPr>
        <w:tc>
          <w:tcPr>
            <w:tcW w:w="9747" w:type="dxa"/>
            <w:gridSpan w:val="2"/>
          </w:tcPr>
          <w:p w14:paraId="5A928778" w14:textId="77777777" w:rsidR="00C612D0" w:rsidRPr="00EE32E8" w:rsidRDefault="00B160DB" w:rsidP="00EE32E8">
            <w:pPr>
              <w:spacing w:line="276" w:lineRule="auto"/>
              <w:ind w:firstLine="567"/>
              <w:jc w:val="both"/>
              <w:rPr>
                <w:b/>
                <w:szCs w:val="24"/>
              </w:rPr>
            </w:pPr>
            <w:r w:rsidRPr="00EE32E8">
              <w:rPr>
                <w:b/>
                <w:szCs w:val="24"/>
              </w:rPr>
              <w:t xml:space="preserve">DĖL </w:t>
            </w:r>
            <w:r w:rsidRPr="00EE32E8">
              <w:rPr>
                <w:b/>
                <w:color w:val="000000"/>
                <w:szCs w:val="24"/>
              </w:rPr>
              <w:t>LIETUVOS ŪKININKŲ SĄJUNGOS SUVAŽIAVIMO REZOLIUCIJOJE PATEIKTŲ SIŪLYMŲ</w:t>
            </w:r>
          </w:p>
        </w:tc>
      </w:tr>
    </w:tbl>
    <w:p w14:paraId="5A92877A" w14:textId="77777777" w:rsidR="00840BF3" w:rsidRDefault="00840BF3" w:rsidP="00EE32E8">
      <w:pPr>
        <w:spacing w:line="276" w:lineRule="auto"/>
        <w:ind w:firstLine="567"/>
        <w:jc w:val="both"/>
        <w:rPr>
          <w:szCs w:val="24"/>
        </w:rPr>
      </w:pPr>
    </w:p>
    <w:p w14:paraId="5A92877B" w14:textId="77777777" w:rsidR="005B6D0C" w:rsidRPr="00EE32E8" w:rsidRDefault="005B6D0C" w:rsidP="005B6D0C">
      <w:pPr>
        <w:spacing w:line="276" w:lineRule="auto"/>
        <w:ind w:firstLine="567"/>
        <w:jc w:val="both"/>
        <w:rPr>
          <w:color w:val="000000"/>
          <w:szCs w:val="24"/>
        </w:rPr>
      </w:pPr>
      <w:r w:rsidRPr="00EE32E8">
        <w:rPr>
          <w:szCs w:val="24"/>
        </w:rPr>
        <w:t xml:space="preserve">Lietuvos Respublikos finansų ministerija, </w:t>
      </w:r>
      <w:r>
        <w:rPr>
          <w:szCs w:val="24"/>
        </w:rPr>
        <w:t xml:space="preserve">vykdydama Ministro Pirmininko pavedimą (Vyriausybės kanclerio </w:t>
      </w:r>
      <w:r w:rsidRPr="002308BC">
        <w:rPr>
          <w:color w:val="000000"/>
          <w:szCs w:val="24"/>
        </w:rPr>
        <w:t>2020-1</w:t>
      </w:r>
      <w:r>
        <w:rPr>
          <w:color w:val="000000"/>
          <w:szCs w:val="24"/>
          <w:lang w:val="en-GB"/>
        </w:rPr>
        <w:t>2</w:t>
      </w:r>
      <w:r w:rsidRPr="002308BC">
        <w:rPr>
          <w:color w:val="000000"/>
          <w:szCs w:val="24"/>
        </w:rPr>
        <w:t>-</w:t>
      </w:r>
      <w:r>
        <w:rPr>
          <w:color w:val="000000"/>
          <w:szCs w:val="24"/>
        </w:rPr>
        <w:t>1</w:t>
      </w:r>
      <w:r>
        <w:rPr>
          <w:color w:val="000000"/>
          <w:szCs w:val="24"/>
          <w:lang w:val="en-GB"/>
        </w:rPr>
        <w:t>6</w:t>
      </w:r>
      <w:r w:rsidRPr="002308BC">
        <w:rPr>
          <w:color w:val="000000"/>
          <w:szCs w:val="24"/>
        </w:rPr>
        <w:t xml:space="preserve"> </w:t>
      </w:r>
      <w:r>
        <w:rPr>
          <w:color w:val="000000"/>
          <w:szCs w:val="24"/>
        </w:rPr>
        <w:t xml:space="preserve">rezoliucija </w:t>
      </w:r>
      <w:r w:rsidRPr="002308BC">
        <w:rPr>
          <w:color w:val="000000"/>
          <w:szCs w:val="24"/>
        </w:rPr>
        <w:t>Nr.</w:t>
      </w:r>
      <w:r>
        <w:rPr>
          <w:color w:val="000000"/>
          <w:szCs w:val="24"/>
        </w:rPr>
        <w:t xml:space="preserve"> S-5022), </w:t>
      </w:r>
      <w:r>
        <w:rPr>
          <w:szCs w:val="24"/>
        </w:rPr>
        <w:t>išnagrinėjo</w:t>
      </w:r>
      <w:r w:rsidRPr="00EE32E8">
        <w:rPr>
          <w:szCs w:val="24"/>
        </w:rPr>
        <w:t xml:space="preserve"> </w:t>
      </w:r>
      <w:r w:rsidRPr="00EE32E8">
        <w:rPr>
          <w:color w:val="000000"/>
          <w:szCs w:val="24"/>
        </w:rPr>
        <w:t xml:space="preserve">Lietuvos ūkininkų sąjungos </w:t>
      </w:r>
      <w:r w:rsidRPr="00EE32E8">
        <w:rPr>
          <w:bCs/>
          <w:szCs w:val="24"/>
        </w:rPr>
        <w:t>XXXII-ojo</w:t>
      </w:r>
      <w:r w:rsidRPr="00EE32E8">
        <w:rPr>
          <w:color w:val="000000"/>
          <w:szCs w:val="24"/>
        </w:rPr>
        <w:t xml:space="preserve"> suvažiavimo re</w:t>
      </w:r>
      <w:r>
        <w:rPr>
          <w:color w:val="000000"/>
          <w:szCs w:val="24"/>
        </w:rPr>
        <w:t xml:space="preserve">zoliucijoje pateiktus siūlymus ir </w:t>
      </w:r>
      <w:r w:rsidRPr="00EE32E8">
        <w:rPr>
          <w:color w:val="000000"/>
          <w:szCs w:val="24"/>
        </w:rPr>
        <w:t xml:space="preserve">pagal kompetenciją teikia nuomonę dėl siūlymų, susijusių su ūkininkavimo veiklai taikomais mokesčiais.  </w:t>
      </w:r>
    </w:p>
    <w:p w14:paraId="5A92877C" w14:textId="77777777" w:rsidR="005B6D0C" w:rsidRPr="00EE32E8" w:rsidRDefault="005B6D0C" w:rsidP="005B6D0C">
      <w:pPr>
        <w:autoSpaceDE w:val="0"/>
        <w:autoSpaceDN w:val="0"/>
        <w:adjustRightInd w:val="0"/>
        <w:spacing w:line="276" w:lineRule="auto"/>
        <w:ind w:firstLine="567"/>
        <w:jc w:val="both"/>
        <w:rPr>
          <w:szCs w:val="24"/>
        </w:rPr>
      </w:pPr>
      <w:r w:rsidRPr="00EE32E8">
        <w:rPr>
          <w:color w:val="000000"/>
          <w:szCs w:val="24"/>
        </w:rPr>
        <w:t xml:space="preserve">Visų pirma, kalbant bendrai apie siūlomas įvesti naujas mokesčių lengvatas, norėtume atkreipti Jūsų dėmesį į tai, kad </w:t>
      </w:r>
      <w:r w:rsidRPr="00EE32E8">
        <w:rPr>
          <w:szCs w:val="24"/>
        </w:rPr>
        <w:t>pagri</w:t>
      </w:r>
      <w:r w:rsidRPr="00EE32E8">
        <w:rPr>
          <w:bCs/>
          <w:szCs w:val="24"/>
        </w:rPr>
        <w:t>n</w:t>
      </w:r>
      <w:r w:rsidRPr="00EE32E8">
        <w:rPr>
          <w:szCs w:val="24"/>
        </w:rPr>
        <w:t>dinė mokesčių funkcija yra fiskalinė, t. y. atitinkamų pajamų lygio į biudžetą surinkimas, kartu užtikrin</w:t>
      </w:r>
      <w:r>
        <w:rPr>
          <w:szCs w:val="24"/>
        </w:rPr>
        <w:t>ant apmokestinimo teisingumą - proporcingą mokesčių naštos pasiskirstymą</w:t>
      </w:r>
      <w:r w:rsidRPr="00EE32E8">
        <w:rPr>
          <w:szCs w:val="24"/>
        </w:rPr>
        <w:t xml:space="preserve">. Nors tam tikromis mokesčių įstatymuose nustatytomis lengvatomis siekiama </w:t>
      </w:r>
      <w:r>
        <w:rPr>
          <w:szCs w:val="24"/>
        </w:rPr>
        <w:t xml:space="preserve">prisidėti ir prie </w:t>
      </w:r>
      <w:r w:rsidRPr="00EE32E8">
        <w:rPr>
          <w:szCs w:val="24"/>
        </w:rPr>
        <w:t xml:space="preserve">kitų, </w:t>
      </w:r>
      <w:r>
        <w:rPr>
          <w:szCs w:val="24"/>
        </w:rPr>
        <w:t>reguliacinių, tikslų</w:t>
      </w:r>
      <w:r w:rsidRPr="00EE32E8">
        <w:rPr>
          <w:szCs w:val="24"/>
        </w:rPr>
        <w:t xml:space="preserve">, vis dėl to, </w:t>
      </w:r>
      <w:r>
        <w:rPr>
          <w:szCs w:val="24"/>
        </w:rPr>
        <w:t>pirmiausiai vertinama</w:t>
      </w:r>
      <w:r w:rsidRPr="00EE32E8">
        <w:rPr>
          <w:szCs w:val="24"/>
        </w:rPr>
        <w:t xml:space="preserve">, ar tikslas, šiuo atveju </w:t>
      </w:r>
      <w:r>
        <w:rPr>
          <w:szCs w:val="24"/>
        </w:rPr>
        <w:t>–</w:t>
      </w:r>
      <w:r w:rsidRPr="00EE32E8">
        <w:rPr>
          <w:szCs w:val="24"/>
        </w:rPr>
        <w:t xml:space="preserve"> </w:t>
      </w:r>
      <w:r w:rsidRPr="00CF10DC">
        <w:rPr>
          <w:szCs w:val="24"/>
          <w:highlight w:val="yellow"/>
        </w:rPr>
        <w:t xml:space="preserve">siekis paskatinti žemės ūkio verslu užsiimti jaunus, inovatyvius žmones, </w:t>
      </w:r>
      <w:r w:rsidRPr="00CF10DC">
        <w:rPr>
          <w:szCs w:val="24"/>
        </w:rPr>
        <w:t>investuoti į mokslinę pažangą, kartu paskatinant žemės ūkio verslo vystymąsi, gali būti efektyviausiai pasiektas būtent mokestinėmis priemonėmis.</w:t>
      </w:r>
      <w:r w:rsidRPr="00EE32E8">
        <w:rPr>
          <w:szCs w:val="24"/>
        </w:rPr>
        <w:t xml:space="preserve">  </w:t>
      </w:r>
    </w:p>
    <w:p w14:paraId="5A92877D" w14:textId="77777777" w:rsidR="005B6D0C" w:rsidRDefault="005B6D0C" w:rsidP="005B6D0C">
      <w:pPr>
        <w:spacing w:line="276" w:lineRule="auto"/>
        <w:ind w:firstLine="567"/>
        <w:jc w:val="both"/>
        <w:rPr>
          <w:szCs w:val="24"/>
          <w:lang w:val="en-US"/>
        </w:rPr>
      </w:pPr>
      <w:r>
        <w:rPr>
          <w:bCs/>
          <w:szCs w:val="24"/>
        </w:rPr>
        <w:t>Atkreiptinas dėmesys</w:t>
      </w:r>
      <w:r w:rsidRPr="00EE32E8">
        <w:rPr>
          <w:bCs/>
          <w:szCs w:val="24"/>
        </w:rPr>
        <w:t>, kad Aštuo</w:t>
      </w:r>
      <w:r w:rsidRPr="00EE32E8">
        <w:rPr>
          <w:szCs w:val="24"/>
        </w:rPr>
        <w:t>nioliktosios Lietuvos Respublikos Vyriausybės programoje numatoma siekti</w:t>
      </w:r>
      <w:r>
        <w:rPr>
          <w:szCs w:val="24"/>
        </w:rPr>
        <w:t xml:space="preserve">, kad </w:t>
      </w:r>
      <w:r>
        <w:rPr>
          <w:i/>
          <w:szCs w:val="24"/>
        </w:rPr>
        <w:t>mokesčių sistema būtų suderinta su viešųjų išlaidų poreikiu, taip pabrėžiant holistinio požiūrio į viešuosius finansus svarbą ir būtinybę užtikrinti tvarų viešųjų paslaugų finansavimą bei numatant mokesčių sistemos pakeitimus svarstyti tik sutarus dėl viešojo sektoriaus įsipareigojimų masto.</w:t>
      </w:r>
      <w:r>
        <w:rPr>
          <w:szCs w:val="24"/>
        </w:rPr>
        <w:t xml:space="preserve"> Šiame kontekste yra numatyta,</w:t>
      </w:r>
      <w:r w:rsidRPr="00EE32E8">
        <w:rPr>
          <w:szCs w:val="24"/>
        </w:rPr>
        <w:t xml:space="preserve"> atlik</w:t>
      </w:r>
      <w:r>
        <w:rPr>
          <w:szCs w:val="24"/>
        </w:rPr>
        <w:t>ti</w:t>
      </w:r>
      <w:r w:rsidRPr="00EE32E8">
        <w:rPr>
          <w:szCs w:val="24"/>
        </w:rPr>
        <w:t xml:space="preserve"> mokesčių lengvatų kaštų ir naudos analizę</w:t>
      </w:r>
      <w:r>
        <w:rPr>
          <w:szCs w:val="24"/>
        </w:rPr>
        <w:t xml:space="preserve">, </w:t>
      </w:r>
      <w:r w:rsidRPr="00EE32E8">
        <w:rPr>
          <w:szCs w:val="24"/>
        </w:rPr>
        <w:t>detaliai įvertin</w:t>
      </w:r>
      <w:r>
        <w:rPr>
          <w:szCs w:val="24"/>
        </w:rPr>
        <w:t>ti</w:t>
      </w:r>
      <w:r w:rsidRPr="00EE32E8">
        <w:rPr>
          <w:szCs w:val="24"/>
        </w:rPr>
        <w:t xml:space="preserve"> </w:t>
      </w:r>
      <w:proofErr w:type="spellStart"/>
      <w:r w:rsidRPr="00EE32E8">
        <w:rPr>
          <w:szCs w:val="24"/>
          <w:lang w:val="en-US"/>
        </w:rPr>
        <w:t>mokesčių</w:t>
      </w:r>
      <w:proofErr w:type="spellEnd"/>
      <w:r w:rsidRPr="00EE32E8">
        <w:rPr>
          <w:szCs w:val="24"/>
          <w:lang w:val="en-US"/>
        </w:rPr>
        <w:t xml:space="preserve"> </w:t>
      </w:r>
      <w:proofErr w:type="spellStart"/>
      <w:r w:rsidRPr="00EE32E8">
        <w:rPr>
          <w:szCs w:val="24"/>
          <w:lang w:val="en-US"/>
        </w:rPr>
        <w:t>lengvatų</w:t>
      </w:r>
      <w:proofErr w:type="spellEnd"/>
      <w:r w:rsidRPr="00EE32E8">
        <w:rPr>
          <w:szCs w:val="24"/>
          <w:lang w:val="en-US"/>
        </w:rPr>
        <w:t xml:space="preserve"> </w:t>
      </w:r>
      <w:proofErr w:type="spellStart"/>
      <w:r w:rsidRPr="00EE32E8">
        <w:rPr>
          <w:szCs w:val="24"/>
          <w:lang w:val="en-US"/>
        </w:rPr>
        <w:t>tikslingumą</w:t>
      </w:r>
      <w:proofErr w:type="spellEnd"/>
      <w:r w:rsidRPr="00EE32E8">
        <w:rPr>
          <w:szCs w:val="24"/>
          <w:lang w:val="en-US"/>
        </w:rPr>
        <w:t xml:space="preserve"> </w:t>
      </w:r>
      <w:proofErr w:type="spellStart"/>
      <w:r w:rsidRPr="00EE32E8">
        <w:rPr>
          <w:szCs w:val="24"/>
          <w:lang w:val="en-US"/>
        </w:rPr>
        <w:t>ir</w:t>
      </w:r>
      <w:proofErr w:type="spellEnd"/>
      <w:r w:rsidRPr="00EE32E8">
        <w:rPr>
          <w:szCs w:val="24"/>
          <w:lang w:val="en-US"/>
        </w:rPr>
        <w:t xml:space="preserve"> </w:t>
      </w:r>
      <w:proofErr w:type="spellStart"/>
      <w:r w:rsidRPr="00EE32E8">
        <w:rPr>
          <w:szCs w:val="24"/>
          <w:lang w:val="en-US"/>
        </w:rPr>
        <w:t>poveikį</w:t>
      </w:r>
      <w:proofErr w:type="spellEnd"/>
      <w:r>
        <w:rPr>
          <w:szCs w:val="24"/>
          <w:lang w:val="en-US"/>
        </w:rPr>
        <w:t xml:space="preserve">, </w:t>
      </w:r>
      <w:proofErr w:type="spellStart"/>
      <w:r>
        <w:rPr>
          <w:szCs w:val="24"/>
          <w:lang w:val="en-US"/>
        </w:rPr>
        <w:t>peržiūrėti</w:t>
      </w:r>
      <w:proofErr w:type="spellEnd"/>
      <w:r>
        <w:rPr>
          <w:szCs w:val="24"/>
          <w:lang w:val="en-US"/>
        </w:rPr>
        <w:t xml:space="preserve"> </w:t>
      </w:r>
      <w:proofErr w:type="spellStart"/>
      <w:r>
        <w:rPr>
          <w:szCs w:val="24"/>
          <w:lang w:val="en-US"/>
        </w:rPr>
        <w:t>specialias</w:t>
      </w:r>
      <w:proofErr w:type="spellEnd"/>
      <w:r>
        <w:rPr>
          <w:szCs w:val="24"/>
          <w:lang w:val="en-US"/>
        </w:rPr>
        <w:t xml:space="preserve"> </w:t>
      </w:r>
      <w:proofErr w:type="spellStart"/>
      <w:r>
        <w:rPr>
          <w:szCs w:val="24"/>
          <w:lang w:val="en-US"/>
        </w:rPr>
        <w:t>sąlygas</w:t>
      </w:r>
      <w:proofErr w:type="spellEnd"/>
      <w:r>
        <w:rPr>
          <w:szCs w:val="24"/>
          <w:lang w:val="en-US"/>
        </w:rPr>
        <w:t xml:space="preserve">, </w:t>
      </w:r>
      <w:proofErr w:type="spellStart"/>
      <w:r>
        <w:rPr>
          <w:szCs w:val="24"/>
          <w:lang w:val="en-US"/>
        </w:rPr>
        <w:t>iškreipiančias</w:t>
      </w:r>
      <w:proofErr w:type="spellEnd"/>
      <w:r>
        <w:rPr>
          <w:szCs w:val="24"/>
          <w:lang w:val="en-US"/>
        </w:rPr>
        <w:t xml:space="preserve"> </w:t>
      </w:r>
      <w:proofErr w:type="spellStart"/>
      <w:r>
        <w:rPr>
          <w:szCs w:val="24"/>
          <w:lang w:val="en-US"/>
        </w:rPr>
        <w:t>apmokestinimo</w:t>
      </w:r>
      <w:proofErr w:type="spellEnd"/>
      <w:r>
        <w:rPr>
          <w:szCs w:val="24"/>
          <w:lang w:val="en-US"/>
        </w:rPr>
        <w:t xml:space="preserve"> </w:t>
      </w:r>
      <w:proofErr w:type="spellStart"/>
      <w:r>
        <w:rPr>
          <w:szCs w:val="24"/>
          <w:lang w:val="en-US"/>
        </w:rPr>
        <w:t>teisingumą</w:t>
      </w:r>
      <w:proofErr w:type="spellEnd"/>
      <w:r>
        <w:rPr>
          <w:szCs w:val="24"/>
          <w:lang w:val="en-US"/>
        </w:rPr>
        <w:t xml:space="preserve">, </w:t>
      </w:r>
      <w:proofErr w:type="spellStart"/>
      <w:r>
        <w:rPr>
          <w:szCs w:val="24"/>
          <w:lang w:val="en-US"/>
        </w:rPr>
        <w:t>kuriančias</w:t>
      </w:r>
      <w:proofErr w:type="spellEnd"/>
      <w:r>
        <w:rPr>
          <w:szCs w:val="24"/>
          <w:lang w:val="en-US"/>
        </w:rPr>
        <w:t xml:space="preserve"> </w:t>
      </w:r>
      <w:proofErr w:type="spellStart"/>
      <w:r>
        <w:rPr>
          <w:szCs w:val="24"/>
          <w:lang w:val="en-US"/>
        </w:rPr>
        <w:t>mokestinį</w:t>
      </w:r>
      <w:proofErr w:type="spellEnd"/>
      <w:r>
        <w:rPr>
          <w:szCs w:val="24"/>
          <w:lang w:val="en-US"/>
        </w:rPr>
        <w:t xml:space="preserve"> </w:t>
      </w:r>
      <w:proofErr w:type="spellStart"/>
      <w:r>
        <w:rPr>
          <w:szCs w:val="24"/>
          <w:lang w:val="en-US"/>
        </w:rPr>
        <w:t>arbitražą</w:t>
      </w:r>
      <w:proofErr w:type="spellEnd"/>
      <w:r>
        <w:rPr>
          <w:szCs w:val="24"/>
          <w:lang w:val="en-US"/>
        </w:rPr>
        <w:t xml:space="preserve">, </w:t>
      </w:r>
      <w:proofErr w:type="spellStart"/>
      <w:r>
        <w:rPr>
          <w:szCs w:val="24"/>
          <w:lang w:val="en-US"/>
        </w:rPr>
        <w:t>skatinančias</w:t>
      </w:r>
      <w:proofErr w:type="spellEnd"/>
      <w:r>
        <w:rPr>
          <w:szCs w:val="24"/>
          <w:lang w:val="en-US"/>
        </w:rPr>
        <w:t xml:space="preserve"> </w:t>
      </w:r>
      <w:proofErr w:type="spellStart"/>
      <w:r>
        <w:rPr>
          <w:szCs w:val="24"/>
          <w:lang w:val="en-US"/>
        </w:rPr>
        <w:t>šešėlį</w:t>
      </w:r>
      <w:proofErr w:type="spellEnd"/>
      <w:r>
        <w:rPr>
          <w:szCs w:val="24"/>
          <w:lang w:val="en-US"/>
        </w:rPr>
        <w:t>.</w:t>
      </w:r>
    </w:p>
    <w:p w14:paraId="5A92877E" w14:textId="77777777" w:rsidR="005B6D0C" w:rsidRPr="00EE32E8" w:rsidRDefault="005B6D0C" w:rsidP="005B6D0C">
      <w:pPr>
        <w:spacing w:line="276" w:lineRule="auto"/>
        <w:ind w:firstLine="567"/>
        <w:jc w:val="both"/>
        <w:rPr>
          <w:szCs w:val="24"/>
        </w:rPr>
      </w:pPr>
      <w:r w:rsidRPr="00EE32E8">
        <w:rPr>
          <w:szCs w:val="24"/>
        </w:rPr>
        <w:t>Kalbant apie pateiktus konkrečius pasiūlymus</w:t>
      </w:r>
      <w:r>
        <w:rPr>
          <w:szCs w:val="24"/>
        </w:rPr>
        <w:t xml:space="preserve"> dėl mokestinių lengvatų žemės ūkio veiklą vykdantiems asmenims</w:t>
      </w:r>
      <w:r w:rsidRPr="00EE32E8">
        <w:rPr>
          <w:szCs w:val="24"/>
        </w:rPr>
        <w:t xml:space="preserve">, </w:t>
      </w:r>
      <w:r>
        <w:rPr>
          <w:szCs w:val="24"/>
        </w:rPr>
        <w:t>mūsų nuomone, be nurodytų priežasčių svarbu atkreipti dėmesį į žemiau išdėstytas aplinkybes</w:t>
      </w:r>
      <w:r w:rsidRPr="00EE32E8">
        <w:rPr>
          <w:szCs w:val="24"/>
        </w:rPr>
        <w:t>:</w:t>
      </w:r>
    </w:p>
    <w:p w14:paraId="5A92877F" w14:textId="77777777" w:rsidR="005B6D0C" w:rsidRDefault="005B6D0C" w:rsidP="005B6D0C">
      <w:pPr>
        <w:autoSpaceDE w:val="0"/>
        <w:autoSpaceDN w:val="0"/>
        <w:adjustRightInd w:val="0"/>
        <w:spacing w:line="276" w:lineRule="auto"/>
        <w:ind w:firstLine="851"/>
        <w:jc w:val="both"/>
        <w:rPr>
          <w:b/>
          <w:bCs/>
          <w:color w:val="000000"/>
          <w:szCs w:val="24"/>
        </w:rPr>
      </w:pPr>
    </w:p>
    <w:p w14:paraId="5A928780" w14:textId="77777777" w:rsidR="005B6D0C" w:rsidRPr="00EE32E8" w:rsidRDefault="005B6D0C" w:rsidP="005B6D0C">
      <w:pPr>
        <w:autoSpaceDE w:val="0"/>
        <w:autoSpaceDN w:val="0"/>
        <w:adjustRightInd w:val="0"/>
        <w:spacing w:line="276" w:lineRule="auto"/>
        <w:ind w:firstLine="851"/>
        <w:jc w:val="both"/>
        <w:rPr>
          <w:b/>
          <w:bCs/>
          <w:color w:val="000000"/>
          <w:szCs w:val="24"/>
        </w:rPr>
      </w:pPr>
      <w:r w:rsidRPr="00EE32E8">
        <w:rPr>
          <w:b/>
          <w:bCs/>
          <w:color w:val="000000"/>
          <w:szCs w:val="24"/>
        </w:rPr>
        <w:t>Dėl akcizų dyzeliniam kurui didinimo.</w:t>
      </w:r>
    </w:p>
    <w:p w14:paraId="5A928781" w14:textId="77777777" w:rsidR="005B6D0C" w:rsidRPr="00EE32E8" w:rsidRDefault="005B6D0C" w:rsidP="005B6D0C">
      <w:pPr>
        <w:autoSpaceDE w:val="0"/>
        <w:autoSpaceDN w:val="0"/>
        <w:adjustRightInd w:val="0"/>
        <w:spacing w:line="276" w:lineRule="auto"/>
        <w:ind w:firstLine="851"/>
        <w:jc w:val="both"/>
        <w:rPr>
          <w:color w:val="000000"/>
          <w:szCs w:val="24"/>
        </w:rPr>
      </w:pPr>
      <w:r w:rsidRPr="00EE32E8">
        <w:rPr>
          <w:color w:val="000000"/>
          <w:szCs w:val="24"/>
        </w:rPr>
        <w:t xml:space="preserve">Pažymėtina, kad energijos produktų apmokestinimas vertintinas kaip viena galimų subalansuotų kompleksinių priemonių, prisidedančių prie siekiamų klimato kaitos politikos tikslų. Todėl svarstant dėl akcizų tarifo, taikomo žemės ūkio veikloje naudojamiems gazoliams, didinimo, būtų </w:t>
      </w:r>
      <w:r>
        <w:rPr>
          <w:color w:val="000000"/>
          <w:szCs w:val="24"/>
        </w:rPr>
        <w:t>svarbu atsižvelgti</w:t>
      </w:r>
      <w:r w:rsidRPr="00EE32E8">
        <w:rPr>
          <w:color w:val="000000"/>
          <w:szCs w:val="24"/>
        </w:rPr>
        <w:t xml:space="preserve"> į nacionaliniu ir ES lygiu iškeltus tikslus klimato kaitos kontekste bei Europos </w:t>
      </w:r>
      <w:r w:rsidRPr="00EE32E8">
        <w:rPr>
          <w:color w:val="000000"/>
          <w:szCs w:val="24"/>
        </w:rPr>
        <w:lastRenderedPageBreak/>
        <w:t>Komisijos teikiamas rekomendacijas atsisakyti lengvatų, kurios subsidijuoja taršų ir eikvojantį energijos vartojimą.</w:t>
      </w:r>
    </w:p>
    <w:p w14:paraId="5A928782" w14:textId="77777777" w:rsidR="005B6D0C" w:rsidRPr="00EE32E8" w:rsidRDefault="005B6D0C" w:rsidP="005B6D0C">
      <w:pPr>
        <w:autoSpaceDE w:val="0"/>
        <w:autoSpaceDN w:val="0"/>
        <w:adjustRightInd w:val="0"/>
        <w:spacing w:after="240" w:line="276" w:lineRule="auto"/>
        <w:ind w:firstLine="851"/>
        <w:jc w:val="both"/>
        <w:rPr>
          <w:color w:val="000000"/>
          <w:szCs w:val="24"/>
        </w:rPr>
      </w:pPr>
      <w:r w:rsidRPr="00EE32E8">
        <w:rPr>
          <w:color w:val="000000"/>
          <w:szCs w:val="24"/>
        </w:rPr>
        <w:t xml:space="preserve">Pažymėtina, kad Nacionaliniame energetikos ir klimato srities veiksmų plane 2021-2030 m. numatoma, kad Lietuva iki 2025 m. sieks sumažinti taršų ir eikvojantį energijos vartojimą, taip pat rinkos iškraipymus skatinantį mokestinių lengvatų taikymą iškastiniam kurui. Tuo tikslu šiame plane numatytas žemės ūkio veikloje naudojamiems gazoliams taikomos akcizų lengvatos dydžio laipsniškas mažinimas. Taip pat pažymėtina, kad 2020 m. rugsėjo 9 d. Lietuvos Respublikos Vyriausybės patvirtintame 2021–2030 m. nacionaliniame pažangos plane nustatyta, kad siekiant įgyvendinti klimato kaitos tikslus, būtina mažinti neigiamą augalininkystės ir gyvulininkystės sektorių poveikį aplinkai bei išmetamų ŠESD ir oro teršalų kiekį, numatoma plėsti gamtai draugišką ūkininkavimą ir skatinti mažai ŠESD išskiriančių technologijų diegimą, įgyvendinti tausojančio ūkininkavimo politiką. </w:t>
      </w:r>
    </w:p>
    <w:p w14:paraId="5A928783" w14:textId="77777777" w:rsidR="005B6D0C" w:rsidRPr="00EE32E8" w:rsidRDefault="005B6D0C" w:rsidP="005B6D0C">
      <w:pPr>
        <w:autoSpaceDE w:val="0"/>
        <w:autoSpaceDN w:val="0"/>
        <w:adjustRightInd w:val="0"/>
        <w:spacing w:line="276" w:lineRule="auto"/>
        <w:ind w:firstLine="851"/>
        <w:jc w:val="both"/>
        <w:rPr>
          <w:b/>
          <w:bCs/>
          <w:color w:val="000000"/>
          <w:szCs w:val="24"/>
        </w:rPr>
      </w:pPr>
      <w:r w:rsidRPr="00EE32E8">
        <w:rPr>
          <w:b/>
          <w:bCs/>
          <w:color w:val="000000"/>
          <w:szCs w:val="24"/>
        </w:rPr>
        <w:t>Dėl lengvatinio PVM tarifo maisto produktams.</w:t>
      </w:r>
    </w:p>
    <w:p w14:paraId="5A928784" w14:textId="77777777" w:rsidR="005B6D0C" w:rsidRPr="00EE32E8" w:rsidRDefault="005B6D0C" w:rsidP="005B6D0C">
      <w:pPr>
        <w:autoSpaceDE w:val="0"/>
        <w:autoSpaceDN w:val="0"/>
        <w:adjustRightInd w:val="0"/>
        <w:spacing w:line="276" w:lineRule="auto"/>
        <w:ind w:firstLine="851"/>
        <w:jc w:val="both"/>
        <w:rPr>
          <w:color w:val="000000"/>
          <w:szCs w:val="24"/>
        </w:rPr>
      </w:pPr>
      <w:r w:rsidRPr="00EE32E8">
        <w:rPr>
          <w:color w:val="000000"/>
          <w:szCs w:val="24"/>
        </w:rPr>
        <w:t xml:space="preserve">Pagrindinis lengvatinio PVM tarifo nustatymo tikslas </w:t>
      </w:r>
      <w:r>
        <w:rPr>
          <w:color w:val="000000"/>
          <w:szCs w:val="24"/>
        </w:rPr>
        <w:noBreakHyphen/>
      </w:r>
      <w:r w:rsidRPr="00EE32E8">
        <w:rPr>
          <w:color w:val="000000"/>
          <w:szCs w:val="24"/>
        </w:rPr>
        <w:t xml:space="preserve"> sumažinti atitinkamų prekių (paslaugų) kainas ir suteikti tiesioginę naudą jų vartotojams. Tačiau praktika ir statistiniai duomenys rodo, kad prekės (paslaugos), kurioms sumažinamas PVM tarifas, iš esmės nepinga (arba nepinga tiek, kiek sumažinamas PVM tarifas), nes kiti nei mokestiniai veiksniai (gamybos kaštai, prekybiniai antkainiai ir pan.) būna priežastimi išlaikyti iki PVM tarifo sumažinimo buvusią prekių (paslaugų) kainą. Atsižvelgiant į tai, mažai tikėtina, kad sumažinus maisto produktams taikomo PVM tarifo dydį, sumažėtų šių produktų kaina ir būtų pasiektas tikslas – sumažinti maisto produktų kainas ir suteikti tiesioginę naudą jų vartotojams.</w:t>
      </w:r>
    </w:p>
    <w:p w14:paraId="5A928785" w14:textId="77777777" w:rsidR="005B6D0C" w:rsidRPr="00EE32E8" w:rsidRDefault="005B6D0C" w:rsidP="005B6D0C">
      <w:pPr>
        <w:autoSpaceDE w:val="0"/>
        <w:autoSpaceDN w:val="0"/>
        <w:adjustRightInd w:val="0"/>
        <w:spacing w:line="276" w:lineRule="auto"/>
        <w:ind w:firstLine="851"/>
        <w:jc w:val="both"/>
        <w:rPr>
          <w:color w:val="000000"/>
          <w:szCs w:val="24"/>
        </w:rPr>
      </w:pPr>
      <w:r w:rsidRPr="00EE32E8">
        <w:rPr>
          <w:color w:val="000000"/>
          <w:szCs w:val="24"/>
        </w:rPr>
        <w:t xml:space="preserve">Tačiau tokia PVM lengvata maisto produktams turėtų neigiamą įtaką valstybės biudžeto  pajamoms – jeigu būtų priimtas sprendimas taikyti lengvatinį 5 proc. PVM tarifą maisto produktams, valstybės biudžetas per metus netektų apie 385 mln. eurų pajamų iš PVM, jeigu lengvatinį 9 proc. PVM tarifą </w:t>
      </w:r>
      <w:r>
        <w:rPr>
          <w:color w:val="000000"/>
          <w:szCs w:val="24"/>
        </w:rPr>
        <w:noBreakHyphen/>
      </w:r>
      <w:r w:rsidRPr="00EE32E8">
        <w:rPr>
          <w:color w:val="000000"/>
          <w:szCs w:val="24"/>
        </w:rPr>
        <w:t xml:space="preserve"> apie 290 mln. eurų. Tuo tarpu 2021 m. valstybės biudžeto ir savivaldybių biudžetų finansinių rodiklių patvirtinimo įstatyme nėra įvertintas tokios PVM lengvatos poveikis. Pajamų iš PVM netekimai, jų nekompensuojant kitomis pajamas didinančiomis ar išlaidas mažinančiomis priemonėmis (pvz., naujo mokesčio įvedimu, mokesčio bazės išplėtimu, lengvatos neterminuotu panaikinimu ar kitų ilgalaikių išlaidų mažinimu), lemtų valdžios sektoriaus finansinės padėties blogėjimą. </w:t>
      </w:r>
    </w:p>
    <w:p w14:paraId="5A928786" w14:textId="77777777" w:rsidR="005B6D0C" w:rsidRPr="00EE32E8" w:rsidRDefault="005B6D0C" w:rsidP="005B6D0C">
      <w:pPr>
        <w:tabs>
          <w:tab w:val="left" w:pos="993"/>
        </w:tabs>
        <w:autoSpaceDE w:val="0"/>
        <w:autoSpaceDN w:val="0"/>
        <w:adjustRightInd w:val="0"/>
        <w:spacing w:line="276" w:lineRule="auto"/>
        <w:ind w:firstLine="709"/>
        <w:jc w:val="both"/>
        <w:rPr>
          <w:szCs w:val="24"/>
        </w:rPr>
      </w:pPr>
    </w:p>
    <w:p w14:paraId="5A928787" w14:textId="77777777" w:rsidR="005B6D0C" w:rsidRPr="00EE32E8" w:rsidRDefault="005B6D0C" w:rsidP="005B6D0C">
      <w:pPr>
        <w:tabs>
          <w:tab w:val="left" w:pos="993"/>
        </w:tabs>
        <w:autoSpaceDE w:val="0"/>
        <w:autoSpaceDN w:val="0"/>
        <w:adjustRightInd w:val="0"/>
        <w:spacing w:line="276" w:lineRule="auto"/>
        <w:ind w:firstLine="709"/>
        <w:jc w:val="both"/>
        <w:rPr>
          <w:b/>
          <w:szCs w:val="24"/>
        </w:rPr>
      </w:pPr>
      <w:r w:rsidRPr="00EE32E8">
        <w:rPr>
          <w:b/>
          <w:szCs w:val="24"/>
        </w:rPr>
        <w:t>Dėl papildomų gyventojų pajamų mokesčio lengvatų:</w:t>
      </w:r>
    </w:p>
    <w:p w14:paraId="5A928788" w14:textId="77777777" w:rsidR="005B6D0C" w:rsidRPr="00EE32E8" w:rsidRDefault="005B6D0C" w:rsidP="005B6D0C">
      <w:pPr>
        <w:pStyle w:val="ListParagraph"/>
        <w:numPr>
          <w:ilvl w:val="0"/>
          <w:numId w:val="9"/>
        </w:numPr>
        <w:tabs>
          <w:tab w:val="left" w:pos="993"/>
        </w:tabs>
        <w:autoSpaceDE w:val="0"/>
        <w:autoSpaceDN w:val="0"/>
        <w:adjustRightInd w:val="0"/>
        <w:spacing w:after="0"/>
        <w:jc w:val="both"/>
        <w:rPr>
          <w:rFonts w:ascii="Times New Roman" w:hAnsi="Times New Roman" w:cs="Times New Roman"/>
          <w:b/>
          <w:sz w:val="24"/>
          <w:szCs w:val="24"/>
          <w:lang w:val="en-GB"/>
        </w:rPr>
      </w:pPr>
      <w:r w:rsidRPr="00EE32E8">
        <w:rPr>
          <w:rFonts w:ascii="Times New Roman" w:hAnsi="Times New Roman" w:cs="Times New Roman"/>
          <w:b/>
          <w:sz w:val="24"/>
          <w:szCs w:val="24"/>
        </w:rPr>
        <w:t>ūkininkų pajamų neapmokestinimas pirmus trejus veiklos metus;</w:t>
      </w:r>
    </w:p>
    <w:p w14:paraId="5A928789" w14:textId="77777777" w:rsidR="005B6D0C" w:rsidRDefault="005B6D0C" w:rsidP="005B6D0C">
      <w:pPr>
        <w:tabs>
          <w:tab w:val="left" w:pos="993"/>
        </w:tabs>
        <w:autoSpaceDE w:val="0"/>
        <w:autoSpaceDN w:val="0"/>
        <w:adjustRightInd w:val="0"/>
        <w:spacing w:line="276" w:lineRule="auto"/>
        <w:ind w:firstLine="709"/>
        <w:jc w:val="both"/>
        <w:rPr>
          <w:szCs w:val="24"/>
        </w:rPr>
      </w:pPr>
      <w:r w:rsidRPr="00EE32E8">
        <w:rPr>
          <w:szCs w:val="24"/>
        </w:rPr>
        <w:t xml:space="preserve">Pažymėtina, kad pagal Lietuvos Respublikos gyventojų pajamų mokesčio įstatymo 17 straipsnio 1 dalies 23 punkto nuostatas pajamos iš žemės ūkio veiklos neapmokestinamos pajamų mokesčiu, jeigu gyventojas nėra ir neprivalo registruotis PVM mokėtoju. Be to, tais atvejais, kai ūkininkas tampa PVM mokėtoju, jo gautas pelnas, neviršijantis 20 000 eurų, dėl taikomo gyventojų pajamų mokesčio kredito apmokestinamas žemu </w:t>
      </w:r>
      <w:r w:rsidRPr="00EE32E8">
        <w:rPr>
          <w:szCs w:val="24"/>
          <w:lang w:val="en-GB"/>
        </w:rPr>
        <w:t>5</w:t>
      </w:r>
      <w:r w:rsidRPr="00EE32E8">
        <w:rPr>
          <w:szCs w:val="24"/>
          <w:lang w:val="en-US"/>
        </w:rPr>
        <w:t xml:space="preserve"> </w:t>
      </w:r>
      <w:r w:rsidRPr="00EE32E8">
        <w:rPr>
          <w:szCs w:val="24"/>
        </w:rPr>
        <w:t>proc. mokesčio tarifu</w:t>
      </w:r>
      <w:r>
        <w:rPr>
          <w:szCs w:val="24"/>
        </w:rPr>
        <w:t xml:space="preserve">, ir tik šią sumą viršijus taikomas palaipsniui iki </w:t>
      </w:r>
      <w:r w:rsidRPr="00EE32E8">
        <w:rPr>
          <w:szCs w:val="24"/>
        </w:rPr>
        <w:t>1</w:t>
      </w:r>
      <w:r w:rsidRPr="00EE32E8">
        <w:rPr>
          <w:szCs w:val="24"/>
          <w:lang w:val="en-GB"/>
        </w:rPr>
        <w:t>5</w:t>
      </w:r>
      <w:r>
        <w:rPr>
          <w:szCs w:val="24"/>
          <w:lang w:val="en-GB"/>
        </w:rPr>
        <w:t xml:space="preserve"> proc.</w:t>
      </w:r>
      <w:r w:rsidRPr="00EE32E8">
        <w:rPr>
          <w:szCs w:val="24"/>
        </w:rPr>
        <w:t xml:space="preserve"> </w:t>
      </w:r>
      <w:r>
        <w:rPr>
          <w:szCs w:val="24"/>
        </w:rPr>
        <w:t>didėjantis mokesčio tarifas</w:t>
      </w:r>
      <w:r w:rsidRPr="00EE32E8">
        <w:rPr>
          <w:szCs w:val="24"/>
        </w:rPr>
        <w:t xml:space="preserve">. </w:t>
      </w:r>
    </w:p>
    <w:p w14:paraId="5A92878A" w14:textId="77777777" w:rsidR="005B6D0C" w:rsidRDefault="005B6D0C" w:rsidP="005B6D0C">
      <w:pPr>
        <w:tabs>
          <w:tab w:val="left" w:pos="993"/>
        </w:tabs>
        <w:autoSpaceDE w:val="0"/>
        <w:autoSpaceDN w:val="0"/>
        <w:adjustRightInd w:val="0"/>
        <w:spacing w:line="276" w:lineRule="auto"/>
        <w:ind w:firstLine="709"/>
        <w:jc w:val="both"/>
        <w:rPr>
          <w:szCs w:val="24"/>
        </w:rPr>
      </w:pPr>
      <w:r w:rsidRPr="00EE32E8">
        <w:rPr>
          <w:szCs w:val="24"/>
        </w:rPr>
        <w:t xml:space="preserve">Įvertinus tai, mūsų nuomone, </w:t>
      </w:r>
      <w:r>
        <w:rPr>
          <w:szCs w:val="24"/>
        </w:rPr>
        <w:t xml:space="preserve">siūlomos lengvatos tikslas mažesnės pajamų mokesčio naštos pradedantiesiems ūkininkams pagalba pritraukti į žemės ūkio verslą jaunus žmones iš esmės yra pasiekiamas per galiojantį reglamentavimą, o tuo tarpu </w:t>
      </w:r>
      <w:r w:rsidRPr="00EE32E8">
        <w:rPr>
          <w:szCs w:val="24"/>
        </w:rPr>
        <w:t xml:space="preserve">papildomo lengvatinio mokestinio režimo įvedimas veiklą pradėjusiam ūkininkui neatsižvelgiant į jo gauto pelno dydį </w:t>
      </w:r>
      <w:r>
        <w:rPr>
          <w:szCs w:val="24"/>
        </w:rPr>
        <w:t>būtų abejotinas, vertinant jį proporcingo apmokestinimo naštos paskirstymo kontekste</w:t>
      </w:r>
      <w:r w:rsidRPr="00EE32E8">
        <w:rPr>
          <w:szCs w:val="24"/>
        </w:rPr>
        <w:t xml:space="preserve">. </w:t>
      </w:r>
    </w:p>
    <w:p w14:paraId="5A92878B" w14:textId="77777777" w:rsidR="005B6D0C" w:rsidRDefault="005B6D0C" w:rsidP="005B6D0C">
      <w:pPr>
        <w:tabs>
          <w:tab w:val="left" w:pos="993"/>
        </w:tabs>
        <w:autoSpaceDE w:val="0"/>
        <w:autoSpaceDN w:val="0"/>
        <w:adjustRightInd w:val="0"/>
        <w:spacing w:line="276" w:lineRule="auto"/>
        <w:ind w:firstLine="709"/>
        <w:jc w:val="both"/>
        <w:rPr>
          <w:szCs w:val="24"/>
        </w:rPr>
      </w:pPr>
    </w:p>
    <w:p w14:paraId="5A92878C" w14:textId="77777777" w:rsidR="005B6D0C" w:rsidRPr="00EE32E8" w:rsidRDefault="005B6D0C" w:rsidP="005B6D0C">
      <w:pPr>
        <w:tabs>
          <w:tab w:val="left" w:pos="993"/>
        </w:tabs>
        <w:autoSpaceDE w:val="0"/>
        <w:autoSpaceDN w:val="0"/>
        <w:adjustRightInd w:val="0"/>
        <w:spacing w:line="276" w:lineRule="auto"/>
        <w:ind w:firstLine="709"/>
        <w:jc w:val="both"/>
        <w:rPr>
          <w:szCs w:val="24"/>
        </w:rPr>
      </w:pPr>
    </w:p>
    <w:p w14:paraId="5A92878D" w14:textId="77777777" w:rsidR="005B6D0C" w:rsidRPr="00EE32E8" w:rsidRDefault="005B6D0C" w:rsidP="005B6D0C">
      <w:pPr>
        <w:pStyle w:val="ListParagraph"/>
        <w:numPr>
          <w:ilvl w:val="0"/>
          <w:numId w:val="9"/>
        </w:numPr>
        <w:tabs>
          <w:tab w:val="left" w:pos="0"/>
          <w:tab w:val="left" w:pos="1134"/>
        </w:tabs>
        <w:autoSpaceDE w:val="0"/>
        <w:autoSpaceDN w:val="0"/>
        <w:adjustRightInd w:val="0"/>
        <w:spacing w:after="0"/>
        <w:ind w:left="0" w:firstLine="709"/>
        <w:jc w:val="both"/>
        <w:rPr>
          <w:rFonts w:ascii="Times New Roman" w:hAnsi="Times New Roman" w:cs="Times New Roman"/>
          <w:b/>
          <w:sz w:val="24"/>
          <w:szCs w:val="24"/>
        </w:rPr>
      </w:pPr>
      <w:r w:rsidRPr="00EE32E8">
        <w:rPr>
          <w:rFonts w:ascii="Times New Roman" w:hAnsi="Times New Roman" w:cs="Times New Roman"/>
          <w:b/>
          <w:sz w:val="24"/>
          <w:szCs w:val="24"/>
        </w:rPr>
        <w:t>Lengvatos individualią žemės ūkio veiklą vykdantiems asmenims, investuojantiems į M</w:t>
      </w:r>
      <w:r>
        <w:rPr>
          <w:rFonts w:ascii="Times New Roman" w:hAnsi="Times New Roman" w:cs="Times New Roman"/>
          <w:b/>
          <w:sz w:val="24"/>
          <w:szCs w:val="24"/>
        </w:rPr>
        <w:t>T</w:t>
      </w:r>
      <w:r w:rsidRPr="00EE32E8">
        <w:rPr>
          <w:rFonts w:ascii="Times New Roman" w:hAnsi="Times New Roman" w:cs="Times New Roman"/>
          <w:b/>
          <w:sz w:val="24"/>
          <w:szCs w:val="24"/>
        </w:rPr>
        <w:t>E</w:t>
      </w:r>
      <w:r>
        <w:rPr>
          <w:rFonts w:ascii="Times New Roman" w:hAnsi="Times New Roman" w:cs="Times New Roman"/>
          <w:b/>
          <w:sz w:val="24"/>
          <w:szCs w:val="24"/>
        </w:rPr>
        <w:t>P</w:t>
      </w:r>
      <w:r w:rsidRPr="00EE32E8">
        <w:rPr>
          <w:rFonts w:ascii="Times New Roman" w:hAnsi="Times New Roman" w:cs="Times New Roman"/>
          <w:b/>
          <w:sz w:val="24"/>
          <w:szCs w:val="24"/>
        </w:rPr>
        <w:t xml:space="preserve"> bei technologinį atsinaujinimą. </w:t>
      </w:r>
    </w:p>
    <w:p w14:paraId="5A92878E" w14:textId="77777777" w:rsidR="005B6D0C" w:rsidRPr="00EE32E8" w:rsidRDefault="005B6D0C" w:rsidP="005B6D0C">
      <w:pPr>
        <w:tabs>
          <w:tab w:val="left" w:pos="993"/>
        </w:tabs>
        <w:autoSpaceDE w:val="0"/>
        <w:autoSpaceDN w:val="0"/>
        <w:adjustRightInd w:val="0"/>
        <w:spacing w:line="276" w:lineRule="auto"/>
        <w:ind w:firstLine="709"/>
        <w:jc w:val="both"/>
        <w:rPr>
          <w:szCs w:val="24"/>
        </w:rPr>
      </w:pPr>
      <w:r w:rsidRPr="00EE32E8">
        <w:rPr>
          <w:szCs w:val="24"/>
        </w:rPr>
        <w:lastRenderedPageBreak/>
        <w:t xml:space="preserve">Siekiant individualią </w:t>
      </w:r>
      <w:r>
        <w:rPr>
          <w:szCs w:val="24"/>
        </w:rPr>
        <w:t xml:space="preserve">žemės ūkio </w:t>
      </w:r>
      <w:r w:rsidRPr="00EE32E8">
        <w:rPr>
          <w:szCs w:val="24"/>
        </w:rPr>
        <w:t>veiklą vykdantiems asmenims</w:t>
      </w:r>
      <w:r>
        <w:rPr>
          <w:szCs w:val="24"/>
        </w:rPr>
        <w:t>,</w:t>
      </w:r>
      <w:r w:rsidRPr="00EE32E8">
        <w:rPr>
          <w:szCs w:val="24"/>
        </w:rPr>
        <w:t xml:space="preserve"> investuojantiems į M</w:t>
      </w:r>
      <w:r>
        <w:rPr>
          <w:szCs w:val="24"/>
        </w:rPr>
        <w:t>T</w:t>
      </w:r>
      <w:r w:rsidRPr="00EE32E8">
        <w:rPr>
          <w:szCs w:val="24"/>
        </w:rPr>
        <w:t>E</w:t>
      </w:r>
      <w:r>
        <w:rPr>
          <w:szCs w:val="24"/>
        </w:rPr>
        <w:t>P</w:t>
      </w:r>
      <w:r w:rsidRPr="00EE32E8">
        <w:rPr>
          <w:szCs w:val="24"/>
        </w:rPr>
        <w:t xml:space="preserve"> bei technologinį atsinaujinimą</w:t>
      </w:r>
      <w:r>
        <w:rPr>
          <w:szCs w:val="24"/>
        </w:rPr>
        <w:t>,</w:t>
      </w:r>
      <w:r w:rsidRPr="00EE32E8">
        <w:rPr>
          <w:szCs w:val="24"/>
        </w:rPr>
        <w:t xml:space="preserve"> taikyti tokias pačias</w:t>
      </w:r>
      <w:r>
        <w:rPr>
          <w:szCs w:val="24"/>
        </w:rPr>
        <w:t xml:space="preserve"> ar panašias </w:t>
      </w:r>
      <w:r w:rsidRPr="00EE32E8">
        <w:rPr>
          <w:szCs w:val="24"/>
        </w:rPr>
        <w:t xml:space="preserve">apmokestinimo sąlygas, kokios yra taikomos žemės ūkio bendrovių atveju, reikėtų atkreipti dėmesį į tai, kad individualios veiklos pajamos apmokestinamos vieną kartą galutinio šių pajamų gavėjo – fizinio asmens – „rankose“ (nustatytas vieno lygio apmokestinimas); tuo tarpu juridiniai asmenys nuo uždirbto pelno moka pelno mokestį, o iš apmokestinto pelno išmokėdami išmokas galutiniams gavėjams </w:t>
      </w:r>
      <w:r>
        <w:rPr>
          <w:szCs w:val="24"/>
        </w:rPr>
        <w:t>–</w:t>
      </w:r>
      <w:r w:rsidRPr="00EE32E8">
        <w:rPr>
          <w:szCs w:val="24"/>
        </w:rPr>
        <w:t xml:space="preserve"> gyventojams, jas apmokestina pajamų mokesčiu. Todėl net ir tuo atveju, kai įmonė nemoka pelno mokesčio dėl pelno mokesčio lengvatų investicijoms į MTEP ir technologinį atsinaujinimą taikymo, skirstant pelną gyventojams – išmokamos išmokos yra apmokestinamos gyventojų pajamų mokesčiu, taip užtikrinant bent vieno lygio apmokestinimą. Atsižvelgiant į išdėstytą, tokio pasiūlymo įgyvendinimas galėtų sukurti situacijas, kai gyventojų, investuojančių į technologinį atsinaujinimą, uždirbtos individualios veiklos pajamos būtų neapmokestinamos nei vienu lygiu</w:t>
      </w:r>
      <w:r>
        <w:rPr>
          <w:szCs w:val="24"/>
        </w:rPr>
        <w:t>, o tai</w:t>
      </w:r>
      <w:r w:rsidRPr="00EE32E8">
        <w:rPr>
          <w:szCs w:val="24"/>
        </w:rPr>
        <w:t xml:space="preserve"> n</w:t>
      </w:r>
      <w:r>
        <w:rPr>
          <w:szCs w:val="24"/>
        </w:rPr>
        <w:t>ebūtų</w:t>
      </w:r>
      <w:r w:rsidRPr="00EE32E8">
        <w:rPr>
          <w:szCs w:val="24"/>
        </w:rPr>
        <w:t xml:space="preserve"> priimtina </w:t>
      </w:r>
      <w:r>
        <w:rPr>
          <w:szCs w:val="24"/>
        </w:rPr>
        <w:t xml:space="preserve">nei </w:t>
      </w:r>
      <w:r w:rsidRPr="00EE32E8">
        <w:rPr>
          <w:szCs w:val="24"/>
        </w:rPr>
        <w:t xml:space="preserve">kompleksiškai vertinant pajamų apmokestinimo sistemos tikslus, </w:t>
      </w:r>
      <w:r>
        <w:rPr>
          <w:szCs w:val="24"/>
        </w:rPr>
        <w:t xml:space="preserve">nei </w:t>
      </w:r>
      <w:r w:rsidRPr="00EE32E8">
        <w:rPr>
          <w:szCs w:val="24"/>
        </w:rPr>
        <w:t xml:space="preserve">tų gyventojų, kurie investuoja į investicinius projektus ar MTEP vykdančias įmones, atžvilgiu. </w:t>
      </w:r>
    </w:p>
    <w:p w14:paraId="5A92878F" w14:textId="77777777" w:rsidR="005B6D0C" w:rsidRDefault="005B6D0C" w:rsidP="005B6D0C">
      <w:pPr>
        <w:tabs>
          <w:tab w:val="left" w:pos="993"/>
        </w:tabs>
        <w:autoSpaceDE w:val="0"/>
        <w:autoSpaceDN w:val="0"/>
        <w:adjustRightInd w:val="0"/>
        <w:spacing w:line="276" w:lineRule="auto"/>
        <w:ind w:firstLine="709"/>
        <w:jc w:val="both"/>
        <w:rPr>
          <w:color w:val="000000"/>
          <w:szCs w:val="24"/>
        </w:rPr>
      </w:pPr>
      <w:r w:rsidRPr="00EE32E8">
        <w:rPr>
          <w:szCs w:val="24"/>
        </w:rPr>
        <w:t xml:space="preserve">Be to, </w:t>
      </w:r>
      <w:r w:rsidRPr="00EE32E8">
        <w:rPr>
          <w:color w:val="000000"/>
          <w:szCs w:val="24"/>
        </w:rPr>
        <w:t>žemės ūkio veiklą vykdantys gyventojai skatinami atnaujinti žemės ūkio techniką, suteikiant galimybę pasinaudoti įvairiomis finansavimo ES lėšomis priemonėmis, įskaitant paramą įvairaus žemės ūkio veikloje naudojamo turto įsigijimui (modernizavimui)</w:t>
      </w:r>
      <w:r>
        <w:rPr>
          <w:color w:val="000000"/>
          <w:szCs w:val="24"/>
        </w:rPr>
        <w:t>.</w:t>
      </w:r>
    </w:p>
    <w:p w14:paraId="5A928790" w14:textId="77777777" w:rsidR="005B6D0C" w:rsidRPr="00EE32E8" w:rsidRDefault="005B6D0C" w:rsidP="005B6D0C">
      <w:pPr>
        <w:tabs>
          <w:tab w:val="left" w:pos="993"/>
        </w:tabs>
        <w:autoSpaceDE w:val="0"/>
        <w:autoSpaceDN w:val="0"/>
        <w:adjustRightInd w:val="0"/>
        <w:spacing w:line="276" w:lineRule="auto"/>
        <w:ind w:firstLine="709"/>
        <w:jc w:val="both"/>
        <w:rPr>
          <w:szCs w:val="24"/>
        </w:rPr>
      </w:pPr>
    </w:p>
    <w:p w14:paraId="5A928791" w14:textId="77777777" w:rsidR="005B6D0C" w:rsidRPr="00840BF3" w:rsidRDefault="005B6D0C" w:rsidP="005B6D0C">
      <w:pPr>
        <w:pStyle w:val="ListParagraph"/>
        <w:numPr>
          <w:ilvl w:val="0"/>
          <w:numId w:val="9"/>
        </w:numPr>
        <w:tabs>
          <w:tab w:val="left" w:pos="993"/>
        </w:tabs>
        <w:autoSpaceDE w:val="0"/>
        <w:autoSpaceDN w:val="0"/>
        <w:adjustRightInd w:val="0"/>
        <w:spacing w:after="0"/>
        <w:jc w:val="both"/>
        <w:rPr>
          <w:rFonts w:ascii="Times New Roman" w:hAnsi="Times New Roman" w:cs="Times New Roman"/>
          <w:b/>
          <w:sz w:val="24"/>
          <w:szCs w:val="24"/>
          <w:lang w:val="en-GB"/>
        </w:rPr>
      </w:pPr>
      <w:r w:rsidRPr="00840BF3">
        <w:rPr>
          <w:rFonts w:ascii="Times New Roman" w:hAnsi="Times New Roman" w:cs="Times New Roman"/>
          <w:b/>
          <w:sz w:val="24"/>
          <w:szCs w:val="24"/>
        </w:rPr>
        <w:t>Žemės įsigijimo išlaidų prisky</w:t>
      </w:r>
      <w:r>
        <w:rPr>
          <w:rFonts w:ascii="Times New Roman" w:hAnsi="Times New Roman" w:cs="Times New Roman"/>
          <w:b/>
          <w:sz w:val="24"/>
          <w:szCs w:val="24"/>
        </w:rPr>
        <w:t>rimas leidžiamiems atskaitymams</w:t>
      </w:r>
      <w:r w:rsidRPr="00840BF3">
        <w:rPr>
          <w:rFonts w:ascii="Times New Roman" w:hAnsi="Times New Roman" w:cs="Times New Roman"/>
          <w:b/>
          <w:sz w:val="24"/>
          <w:szCs w:val="24"/>
        </w:rPr>
        <w:t xml:space="preserve">. </w:t>
      </w:r>
    </w:p>
    <w:p w14:paraId="5A928792" w14:textId="77777777" w:rsidR="005B6D0C" w:rsidRDefault="005B6D0C" w:rsidP="005B6D0C">
      <w:pPr>
        <w:spacing w:line="276" w:lineRule="auto"/>
        <w:ind w:firstLine="709"/>
        <w:jc w:val="both"/>
      </w:pPr>
      <w:r>
        <w:rPr>
          <w:color w:val="000000"/>
          <w:szCs w:val="24"/>
        </w:rPr>
        <w:t xml:space="preserve">Pažymėtina, kad toks ilgalaikis turtas kaip žemė </w:t>
      </w:r>
      <w:r w:rsidRPr="00EE32E8">
        <w:rPr>
          <w:color w:val="000000"/>
          <w:szCs w:val="24"/>
        </w:rPr>
        <w:t>iš esmės neturi nauding</w:t>
      </w:r>
      <w:r>
        <w:rPr>
          <w:color w:val="000000"/>
          <w:szCs w:val="24"/>
        </w:rPr>
        <w:t>o tarnavimo laiko pabaigos, kurį</w:t>
      </w:r>
      <w:r w:rsidRPr="00EE32E8">
        <w:rPr>
          <w:color w:val="000000"/>
          <w:szCs w:val="24"/>
        </w:rPr>
        <w:t xml:space="preserve"> </w:t>
      </w:r>
      <w:r>
        <w:rPr>
          <w:color w:val="000000"/>
          <w:szCs w:val="24"/>
        </w:rPr>
        <w:t xml:space="preserve">gyventojas, </w:t>
      </w:r>
      <w:r w:rsidRPr="00EE32E8">
        <w:rPr>
          <w:color w:val="000000"/>
          <w:szCs w:val="24"/>
        </w:rPr>
        <w:t xml:space="preserve">norėdamas </w:t>
      </w:r>
      <w:r>
        <w:rPr>
          <w:color w:val="000000"/>
          <w:szCs w:val="24"/>
        </w:rPr>
        <w:t xml:space="preserve">turtą </w:t>
      </w:r>
      <w:r w:rsidRPr="00EE32E8">
        <w:rPr>
          <w:color w:val="000000"/>
          <w:szCs w:val="24"/>
        </w:rPr>
        <w:t>nudėvėti (ir atitinkamas sąnaudas atskaityti iš apmokestinam</w:t>
      </w:r>
      <w:r>
        <w:rPr>
          <w:color w:val="000000"/>
          <w:szCs w:val="24"/>
        </w:rPr>
        <w:t>ųjų pajamų</w:t>
      </w:r>
      <w:r w:rsidRPr="00EE32E8">
        <w:rPr>
          <w:color w:val="000000"/>
          <w:szCs w:val="24"/>
        </w:rPr>
        <w:t xml:space="preserve">) paprastai turi nusistatyti. Be to, </w:t>
      </w:r>
      <w:r>
        <w:rPr>
          <w:color w:val="000000"/>
          <w:szCs w:val="24"/>
        </w:rPr>
        <w:t>žemės</w:t>
      </w:r>
      <w:r w:rsidRPr="00EE32E8">
        <w:rPr>
          <w:color w:val="000000"/>
          <w:szCs w:val="24"/>
        </w:rPr>
        <w:t xml:space="preserve"> vertė ilguoju laikotarpiu paprastai auga, o turto nusidėvėjimas savo esme atspindi turto nuvertėjimą laike ir turto įsigijimo sąnaudų išdėstymą dalimis per tą nuvertėjimo (nusidėvėjimo) laikotarpį. </w:t>
      </w:r>
      <w:r>
        <w:rPr>
          <w:color w:val="000000"/>
          <w:szCs w:val="24"/>
        </w:rPr>
        <w:t>Atsižvelgdami į tai manome, kad reguliavimas, pagal kurį žemės įsigijimo išlaidos mokesčių tikslais įvertinamos tik žemės pardavimo atveju, yra pagrįstas.</w:t>
      </w:r>
    </w:p>
    <w:p w14:paraId="5A928793" w14:textId="77777777" w:rsidR="005457D0" w:rsidRPr="00EE32E8" w:rsidRDefault="005457D0" w:rsidP="00EE32E8">
      <w:pPr>
        <w:tabs>
          <w:tab w:val="left" w:pos="993"/>
        </w:tabs>
        <w:autoSpaceDE w:val="0"/>
        <w:autoSpaceDN w:val="0"/>
        <w:adjustRightInd w:val="0"/>
        <w:spacing w:line="276" w:lineRule="auto"/>
        <w:ind w:firstLine="709"/>
        <w:jc w:val="both"/>
        <w:rPr>
          <w:szCs w:val="24"/>
        </w:rPr>
      </w:pPr>
    </w:p>
    <w:p w14:paraId="5A928794" w14:textId="77777777" w:rsidR="001349D0" w:rsidRPr="00EE32E8" w:rsidRDefault="001349D0" w:rsidP="00EE32E8">
      <w:pPr>
        <w:tabs>
          <w:tab w:val="left" w:pos="993"/>
        </w:tabs>
        <w:autoSpaceDE w:val="0"/>
        <w:autoSpaceDN w:val="0"/>
        <w:adjustRightInd w:val="0"/>
        <w:spacing w:line="276" w:lineRule="auto"/>
        <w:ind w:firstLine="709"/>
        <w:jc w:val="both"/>
        <w:rPr>
          <w:szCs w:val="24"/>
        </w:rPr>
      </w:pPr>
    </w:p>
    <w:p w14:paraId="5A928795" w14:textId="77777777" w:rsidR="001349D0" w:rsidRDefault="001349D0" w:rsidP="00366896">
      <w:pPr>
        <w:tabs>
          <w:tab w:val="left" w:pos="993"/>
        </w:tabs>
        <w:autoSpaceDE w:val="0"/>
        <w:autoSpaceDN w:val="0"/>
        <w:adjustRightInd w:val="0"/>
        <w:spacing w:line="276" w:lineRule="auto"/>
        <w:ind w:firstLine="709"/>
        <w:jc w:val="both"/>
        <w:rPr>
          <w:sz w:val="20"/>
        </w:rPr>
      </w:pPr>
    </w:p>
    <w:p w14:paraId="5A928796" w14:textId="77777777" w:rsidR="005B6D0C" w:rsidRDefault="005B6D0C" w:rsidP="00366896">
      <w:pPr>
        <w:tabs>
          <w:tab w:val="left" w:pos="993"/>
        </w:tabs>
        <w:autoSpaceDE w:val="0"/>
        <w:autoSpaceDN w:val="0"/>
        <w:adjustRightInd w:val="0"/>
        <w:spacing w:line="276" w:lineRule="auto"/>
        <w:ind w:firstLine="709"/>
        <w:jc w:val="both"/>
        <w:rPr>
          <w:sz w:val="20"/>
        </w:rPr>
      </w:pPr>
    </w:p>
    <w:p w14:paraId="5A928797" w14:textId="77777777" w:rsidR="005B6D0C" w:rsidRDefault="005B6D0C" w:rsidP="00366896">
      <w:pPr>
        <w:tabs>
          <w:tab w:val="left" w:pos="993"/>
        </w:tabs>
        <w:autoSpaceDE w:val="0"/>
        <w:autoSpaceDN w:val="0"/>
        <w:adjustRightInd w:val="0"/>
        <w:spacing w:line="276" w:lineRule="auto"/>
        <w:ind w:firstLine="709"/>
        <w:jc w:val="both"/>
        <w:rPr>
          <w:sz w:val="20"/>
        </w:rPr>
      </w:pPr>
    </w:p>
    <w:p w14:paraId="5A928798" w14:textId="77777777" w:rsidR="005B6D0C" w:rsidRDefault="005B6D0C" w:rsidP="00366896">
      <w:pPr>
        <w:tabs>
          <w:tab w:val="left" w:pos="993"/>
        </w:tabs>
        <w:autoSpaceDE w:val="0"/>
        <w:autoSpaceDN w:val="0"/>
        <w:adjustRightInd w:val="0"/>
        <w:spacing w:line="276" w:lineRule="auto"/>
        <w:ind w:firstLine="709"/>
        <w:jc w:val="both"/>
        <w:rPr>
          <w:sz w:val="20"/>
        </w:rPr>
      </w:pPr>
    </w:p>
    <w:p w14:paraId="5A928799" w14:textId="77777777" w:rsidR="005B6D0C" w:rsidRDefault="005B6D0C" w:rsidP="00366896">
      <w:pPr>
        <w:tabs>
          <w:tab w:val="left" w:pos="993"/>
        </w:tabs>
        <w:autoSpaceDE w:val="0"/>
        <w:autoSpaceDN w:val="0"/>
        <w:adjustRightInd w:val="0"/>
        <w:spacing w:line="276" w:lineRule="auto"/>
        <w:ind w:firstLine="709"/>
        <w:jc w:val="both"/>
        <w:rPr>
          <w:sz w:val="20"/>
        </w:rPr>
      </w:pPr>
    </w:p>
    <w:p w14:paraId="5A92879A" w14:textId="77777777" w:rsidR="005B6D0C" w:rsidRDefault="005B6D0C" w:rsidP="00366896">
      <w:pPr>
        <w:tabs>
          <w:tab w:val="left" w:pos="993"/>
        </w:tabs>
        <w:autoSpaceDE w:val="0"/>
        <w:autoSpaceDN w:val="0"/>
        <w:adjustRightInd w:val="0"/>
        <w:spacing w:line="276" w:lineRule="auto"/>
        <w:ind w:firstLine="709"/>
        <w:jc w:val="both"/>
        <w:rPr>
          <w:sz w:val="20"/>
        </w:rPr>
      </w:pPr>
    </w:p>
    <w:p w14:paraId="5A92879B" w14:textId="77777777" w:rsidR="005B6D0C" w:rsidRDefault="005B6D0C" w:rsidP="00366896">
      <w:pPr>
        <w:tabs>
          <w:tab w:val="left" w:pos="993"/>
        </w:tabs>
        <w:autoSpaceDE w:val="0"/>
        <w:autoSpaceDN w:val="0"/>
        <w:adjustRightInd w:val="0"/>
        <w:spacing w:line="276" w:lineRule="auto"/>
        <w:ind w:firstLine="709"/>
        <w:jc w:val="both"/>
        <w:rPr>
          <w:sz w:val="20"/>
        </w:rPr>
      </w:pPr>
    </w:p>
    <w:p w14:paraId="5A92879C" w14:textId="77777777" w:rsidR="005B6D0C" w:rsidRDefault="005B6D0C" w:rsidP="00366896">
      <w:pPr>
        <w:tabs>
          <w:tab w:val="left" w:pos="993"/>
        </w:tabs>
        <w:autoSpaceDE w:val="0"/>
        <w:autoSpaceDN w:val="0"/>
        <w:adjustRightInd w:val="0"/>
        <w:spacing w:line="276" w:lineRule="auto"/>
        <w:ind w:firstLine="709"/>
        <w:jc w:val="both"/>
        <w:rPr>
          <w:sz w:val="20"/>
        </w:rPr>
      </w:pPr>
    </w:p>
    <w:p w14:paraId="5A92879D" w14:textId="77777777" w:rsidR="005B6D0C" w:rsidRDefault="005B6D0C" w:rsidP="00366896">
      <w:pPr>
        <w:tabs>
          <w:tab w:val="left" w:pos="993"/>
        </w:tabs>
        <w:autoSpaceDE w:val="0"/>
        <w:autoSpaceDN w:val="0"/>
        <w:adjustRightInd w:val="0"/>
        <w:spacing w:line="276" w:lineRule="auto"/>
        <w:ind w:firstLine="709"/>
        <w:jc w:val="both"/>
        <w:rPr>
          <w:sz w:val="20"/>
        </w:rPr>
      </w:pPr>
    </w:p>
    <w:p w14:paraId="5A92879E" w14:textId="77777777" w:rsidR="005B6D0C" w:rsidRDefault="005B6D0C" w:rsidP="00366896">
      <w:pPr>
        <w:tabs>
          <w:tab w:val="left" w:pos="993"/>
        </w:tabs>
        <w:autoSpaceDE w:val="0"/>
        <w:autoSpaceDN w:val="0"/>
        <w:adjustRightInd w:val="0"/>
        <w:spacing w:line="276" w:lineRule="auto"/>
        <w:ind w:firstLine="709"/>
        <w:jc w:val="both"/>
        <w:rPr>
          <w:sz w:val="20"/>
        </w:rPr>
      </w:pPr>
    </w:p>
    <w:p w14:paraId="5A92879F" w14:textId="77777777" w:rsidR="005B6D0C" w:rsidRDefault="005B6D0C" w:rsidP="00366896">
      <w:pPr>
        <w:tabs>
          <w:tab w:val="left" w:pos="993"/>
        </w:tabs>
        <w:autoSpaceDE w:val="0"/>
        <w:autoSpaceDN w:val="0"/>
        <w:adjustRightInd w:val="0"/>
        <w:spacing w:line="276" w:lineRule="auto"/>
        <w:ind w:firstLine="709"/>
        <w:jc w:val="both"/>
        <w:rPr>
          <w:sz w:val="20"/>
        </w:rPr>
      </w:pPr>
    </w:p>
    <w:p w14:paraId="5A9287A0" w14:textId="77777777" w:rsidR="005B6D0C" w:rsidRDefault="005B6D0C" w:rsidP="00366896">
      <w:pPr>
        <w:tabs>
          <w:tab w:val="left" w:pos="993"/>
        </w:tabs>
        <w:autoSpaceDE w:val="0"/>
        <w:autoSpaceDN w:val="0"/>
        <w:adjustRightInd w:val="0"/>
        <w:spacing w:line="276" w:lineRule="auto"/>
        <w:ind w:firstLine="709"/>
        <w:jc w:val="both"/>
        <w:rPr>
          <w:sz w:val="20"/>
        </w:rPr>
      </w:pPr>
    </w:p>
    <w:p w14:paraId="5A9287A1" w14:textId="77777777" w:rsidR="005B6D0C" w:rsidRDefault="005B6D0C" w:rsidP="00366896">
      <w:pPr>
        <w:tabs>
          <w:tab w:val="left" w:pos="993"/>
        </w:tabs>
        <w:autoSpaceDE w:val="0"/>
        <w:autoSpaceDN w:val="0"/>
        <w:adjustRightInd w:val="0"/>
        <w:spacing w:line="276" w:lineRule="auto"/>
        <w:ind w:firstLine="709"/>
        <w:jc w:val="both"/>
        <w:rPr>
          <w:sz w:val="20"/>
        </w:rPr>
      </w:pPr>
    </w:p>
    <w:p w14:paraId="5A9287A2" w14:textId="77777777" w:rsidR="005B6D0C" w:rsidRDefault="005B6D0C" w:rsidP="00366896">
      <w:pPr>
        <w:tabs>
          <w:tab w:val="left" w:pos="993"/>
        </w:tabs>
        <w:autoSpaceDE w:val="0"/>
        <w:autoSpaceDN w:val="0"/>
        <w:adjustRightInd w:val="0"/>
        <w:spacing w:line="276" w:lineRule="auto"/>
        <w:ind w:firstLine="709"/>
        <w:jc w:val="both"/>
        <w:rPr>
          <w:sz w:val="20"/>
        </w:rPr>
      </w:pPr>
    </w:p>
    <w:p w14:paraId="5A9287A3" w14:textId="77777777" w:rsidR="001349D0" w:rsidRDefault="001349D0" w:rsidP="00366896">
      <w:pPr>
        <w:tabs>
          <w:tab w:val="left" w:pos="993"/>
        </w:tabs>
        <w:autoSpaceDE w:val="0"/>
        <w:autoSpaceDN w:val="0"/>
        <w:adjustRightInd w:val="0"/>
        <w:spacing w:line="276" w:lineRule="auto"/>
        <w:ind w:firstLine="709"/>
        <w:jc w:val="both"/>
        <w:rPr>
          <w:sz w:val="20"/>
        </w:rPr>
      </w:pPr>
    </w:p>
    <w:p w14:paraId="5A9287A4" w14:textId="77777777" w:rsidR="00676E45" w:rsidRDefault="0018776E" w:rsidP="00366896">
      <w:pPr>
        <w:tabs>
          <w:tab w:val="left" w:pos="993"/>
        </w:tabs>
        <w:autoSpaceDE w:val="0"/>
        <w:autoSpaceDN w:val="0"/>
        <w:adjustRightInd w:val="0"/>
        <w:spacing w:line="276" w:lineRule="auto"/>
        <w:ind w:firstLine="709"/>
        <w:jc w:val="both"/>
        <w:rPr>
          <w:sz w:val="20"/>
          <w:lang w:val="en-GB"/>
        </w:rPr>
      </w:pPr>
      <w:r w:rsidRPr="00781B0A">
        <w:rPr>
          <w:sz w:val="20"/>
        </w:rPr>
        <w:t xml:space="preserve">Ž. Kvedytė, </w:t>
      </w:r>
      <w:r w:rsidRPr="00781B0A">
        <w:rPr>
          <w:sz w:val="20"/>
          <w:lang w:val="en-GB"/>
        </w:rPr>
        <w:t xml:space="preserve">2199 301, </w:t>
      </w:r>
      <w:hyperlink r:id="rId14" w:history="1">
        <w:r w:rsidR="00781B0A" w:rsidRPr="00781B0A">
          <w:rPr>
            <w:rStyle w:val="Hyperlink"/>
            <w:color w:val="auto"/>
            <w:sz w:val="20"/>
            <w:u w:val="none"/>
            <w:lang w:val="en-GB"/>
          </w:rPr>
          <w:t>zivile.kvedyte</w:t>
        </w:r>
        <w:r w:rsidR="00781B0A" w:rsidRPr="00781B0A">
          <w:rPr>
            <w:rStyle w:val="Hyperlink"/>
            <w:color w:val="auto"/>
            <w:sz w:val="20"/>
            <w:u w:val="none"/>
            <w:lang w:val="en-US"/>
          </w:rPr>
          <w:t>@finmin.lt</w:t>
        </w:r>
      </w:hyperlink>
    </w:p>
    <w:p w14:paraId="5A9287A5" w14:textId="77777777" w:rsidR="00827194" w:rsidRPr="00827194" w:rsidRDefault="00827194" w:rsidP="00366896">
      <w:pPr>
        <w:tabs>
          <w:tab w:val="left" w:pos="993"/>
        </w:tabs>
        <w:autoSpaceDE w:val="0"/>
        <w:autoSpaceDN w:val="0"/>
        <w:adjustRightInd w:val="0"/>
        <w:spacing w:line="276" w:lineRule="auto"/>
        <w:ind w:firstLine="709"/>
        <w:jc w:val="both"/>
        <w:rPr>
          <w:sz w:val="20"/>
          <w:lang w:val="en-GB"/>
        </w:rPr>
      </w:pPr>
      <w:r>
        <w:rPr>
          <w:sz w:val="20"/>
          <w:lang w:val="en-GB"/>
        </w:rPr>
        <w:t xml:space="preserve">V. </w:t>
      </w:r>
      <w:r>
        <w:rPr>
          <w:sz w:val="20"/>
        </w:rPr>
        <w:t xml:space="preserve">Čepė, </w:t>
      </w:r>
      <w:r>
        <w:rPr>
          <w:sz w:val="20"/>
          <w:lang w:val="en-GB"/>
        </w:rPr>
        <w:t>2199 324, vytenis.cepe@finmin.lt</w:t>
      </w:r>
    </w:p>
    <w:p w14:paraId="5A9287A6" w14:textId="77777777" w:rsidR="00781B0A" w:rsidRPr="00781B0A" w:rsidRDefault="00781B0A" w:rsidP="00366896">
      <w:pPr>
        <w:tabs>
          <w:tab w:val="left" w:pos="993"/>
        </w:tabs>
        <w:autoSpaceDE w:val="0"/>
        <w:autoSpaceDN w:val="0"/>
        <w:adjustRightInd w:val="0"/>
        <w:spacing w:line="276" w:lineRule="auto"/>
        <w:ind w:firstLine="709"/>
        <w:jc w:val="both"/>
        <w:rPr>
          <w:sz w:val="20"/>
          <w:lang w:val="en-US"/>
        </w:rPr>
      </w:pPr>
      <w:r w:rsidRPr="00781B0A">
        <w:rPr>
          <w:sz w:val="20"/>
          <w:lang w:val="en-US"/>
        </w:rPr>
        <w:t xml:space="preserve">G. </w:t>
      </w:r>
      <w:proofErr w:type="spellStart"/>
      <w:r w:rsidRPr="00781B0A">
        <w:rPr>
          <w:sz w:val="20"/>
          <w:lang w:val="en-US"/>
        </w:rPr>
        <w:t>Morkūnienė</w:t>
      </w:r>
      <w:proofErr w:type="spellEnd"/>
      <w:r w:rsidRPr="00781B0A">
        <w:rPr>
          <w:sz w:val="20"/>
          <w:lang w:val="en-US"/>
        </w:rPr>
        <w:t xml:space="preserve">, </w:t>
      </w:r>
      <w:r w:rsidRPr="00781B0A">
        <w:rPr>
          <w:sz w:val="20"/>
          <w:lang w:val="en-GB"/>
        </w:rPr>
        <w:t xml:space="preserve">2390 229, </w:t>
      </w:r>
      <w:proofErr w:type="spellStart"/>
      <w:r w:rsidRPr="00781B0A">
        <w:rPr>
          <w:sz w:val="20"/>
          <w:lang w:val="en-GB"/>
        </w:rPr>
        <w:t>giedre.morkuniene</w:t>
      </w:r>
      <w:proofErr w:type="spellEnd"/>
      <w:r w:rsidRPr="00781B0A">
        <w:rPr>
          <w:sz w:val="20"/>
          <w:lang w:val="en-US"/>
        </w:rPr>
        <w:t>@finmin.lt</w:t>
      </w:r>
      <w:permEnd w:id="1426130135"/>
    </w:p>
    <w:sectPr w:rsidR="00781B0A" w:rsidRPr="00781B0A" w:rsidSect="005B6D0C">
      <w:footerReference w:type="default" r:id="rId15"/>
      <w:type w:val="continuous"/>
      <w:pgSz w:w="11906" w:h="16838" w:code="9"/>
      <w:pgMar w:top="1134" w:right="707" w:bottom="426" w:left="1418" w:header="561" w:footer="567" w:gutter="0"/>
      <w:cols w:space="1296"/>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C8399" w14:textId="77777777" w:rsidR="004849D8" w:rsidRDefault="004849D8">
      <w:r>
        <w:separator/>
      </w:r>
    </w:p>
  </w:endnote>
  <w:endnote w:type="continuationSeparator" w:id="0">
    <w:p w14:paraId="3E91960B" w14:textId="77777777" w:rsidR="004849D8" w:rsidRDefault="0048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287B1" w14:textId="77777777" w:rsidR="00676E45" w:rsidRDefault="00676E45">
    <w:pPr>
      <w:ind w:right="227"/>
      <w:jc w:val="right"/>
    </w:pPr>
    <w:r>
      <w:rPr>
        <w:sz w:val="10"/>
      </w:rPr>
      <w:fldChar w:fldCharType="begin"/>
    </w:r>
    <w:r>
      <w:rPr>
        <w:sz w:val="10"/>
      </w:rPr>
      <w:instrText xml:space="preserve"> FILENAME  \* MERGEFORMAT </w:instrText>
    </w:r>
    <w:r>
      <w:rPr>
        <w:sz w:val="10"/>
      </w:rPr>
      <w:fldChar w:fldCharType="separate"/>
    </w:r>
    <w:r w:rsidR="00223BA1">
      <w:rPr>
        <w:noProof/>
        <w:sz w:val="10"/>
      </w:rPr>
      <w:t>Dokumentas1</w:t>
    </w:r>
    <w:r>
      <w:rPr>
        <w:sz w:val="10"/>
      </w:rPr>
      <w:fldChar w:fldCharType="end"/>
    </w:r>
  </w:p>
  <w:tbl>
    <w:tblPr>
      <w:tblW w:w="0" w:type="auto"/>
      <w:tblInd w:w="102" w:type="dxa"/>
      <w:tblLayout w:type="fixed"/>
      <w:tblCellMar>
        <w:left w:w="102" w:type="dxa"/>
        <w:right w:w="102" w:type="dxa"/>
      </w:tblCellMar>
      <w:tblLook w:val="0000" w:firstRow="0" w:lastRow="0" w:firstColumn="0" w:lastColumn="0" w:noHBand="0" w:noVBand="0"/>
    </w:tblPr>
    <w:tblGrid>
      <w:gridCol w:w="3119"/>
      <w:gridCol w:w="1615"/>
      <w:gridCol w:w="2212"/>
      <w:gridCol w:w="2552"/>
    </w:tblGrid>
    <w:tr w:rsidR="00676E45" w14:paraId="5A9287B6" w14:textId="77777777">
      <w:tc>
        <w:tcPr>
          <w:tcW w:w="3119" w:type="dxa"/>
        </w:tcPr>
        <w:p w14:paraId="5A9287B2" w14:textId="77777777" w:rsidR="00676E45" w:rsidRDefault="00676E45">
          <w:pPr>
            <w:pStyle w:val="Footer"/>
            <w:rPr>
              <w:sz w:val="16"/>
            </w:rPr>
          </w:pPr>
          <w:r>
            <w:rPr>
              <w:sz w:val="16"/>
            </w:rPr>
            <w:t xml:space="preserve">Kodas 8860165 </w:t>
          </w:r>
        </w:p>
      </w:tc>
      <w:tc>
        <w:tcPr>
          <w:tcW w:w="1615" w:type="dxa"/>
        </w:tcPr>
        <w:p w14:paraId="5A9287B3" w14:textId="77777777" w:rsidR="00676E45" w:rsidRDefault="00676E45">
          <w:pPr>
            <w:pStyle w:val="Footer"/>
            <w:rPr>
              <w:sz w:val="16"/>
            </w:rPr>
          </w:pPr>
          <w:r>
            <w:rPr>
              <w:sz w:val="16"/>
            </w:rPr>
            <w:t>Telefonas  39 00 05</w:t>
          </w:r>
        </w:p>
      </w:tc>
      <w:tc>
        <w:tcPr>
          <w:tcW w:w="2212" w:type="dxa"/>
        </w:tcPr>
        <w:p w14:paraId="5A9287B4" w14:textId="77777777" w:rsidR="00676E45" w:rsidRDefault="00676E45">
          <w:pPr>
            <w:pStyle w:val="Footer"/>
            <w:rPr>
              <w:sz w:val="16"/>
            </w:rPr>
          </w:pPr>
          <w:r>
            <w:rPr>
              <w:sz w:val="16"/>
            </w:rPr>
            <w:t>El. paštas: finmin@finmin.lt</w:t>
          </w:r>
        </w:p>
      </w:tc>
      <w:tc>
        <w:tcPr>
          <w:tcW w:w="2552" w:type="dxa"/>
        </w:tcPr>
        <w:p w14:paraId="5A9287B5" w14:textId="77777777" w:rsidR="00676E45" w:rsidRDefault="00676E45">
          <w:pPr>
            <w:pStyle w:val="Footer"/>
            <w:rPr>
              <w:sz w:val="16"/>
            </w:rPr>
          </w:pPr>
          <w:r>
            <w:rPr>
              <w:sz w:val="16"/>
            </w:rPr>
            <w:t>Atsiskait. sąsk. Nr. 253002007</w:t>
          </w:r>
        </w:p>
      </w:tc>
    </w:tr>
    <w:tr w:rsidR="00676E45" w14:paraId="5A9287BB" w14:textId="77777777">
      <w:tc>
        <w:tcPr>
          <w:tcW w:w="3119" w:type="dxa"/>
        </w:tcPr>
        <w:p w14:paraId="5A9287B7" w14:textId="77777777" w:rsidR="00676E45" w:rsidRDefault="00676E45">
          <w:pPr>
            <w:pStyle w:val="Footer"/>
            <w:rPr>
              <w:sz w:val="16"/>
            </w:rPr>
          </w:pPr>
          <w:r>
            <w:rPr>
              <w:sz w:val="16"/>
            </w:rPr>
            <w:t>J. Tumo-Vaižganto g. 8</w:t>
          </w:r>
          <w:r>
            <w:rPr>
              <w:sz w:val="16"/>
              <w:vertAlign w:val="superscript"/>
            </w:rPr>
            <w:t>A</w:t>
          </w:r>
          <w:r>
            <w:rPr>
              <w:sz w:val="16"/>
            </w:rPr>
            <w:t>/2 LT-2600 Vilnius</w:t>
          </w:r>
        </w:p>
      </w:tc>
      <w:tc>
        <w:tcPr>
          <w:tcW w:w="1615" w:type="dxa"/>
        </w:tcPr>
        <w:p w14:paraId="5A9287B8" w14:textId="77777777" w:rsidR="00676E45" w:rsidRDefault="00676E45">
          <w:pPr>
            <w:pStyle w:val="Footer"/>
            <w:rPr>
              <w:sz w:val="16"/>
            </w:rPr>
          </w:pPr>
          <w:r>
            <w:rPr>
              <w:sz w:val="16"/>
            </w:rPr>
            <w:t>Faksas     79 14 81</w:t>
          </w:r>
        </w:p>
      </w:tc>
      <w:tc>
        <w:tcPr>
          <w:tcW w:w="2212" w:type="dxa"/>
        </w:tcPr>
        <w:p w14:paraId="5A9287B9" w14:textId="77777777" w:rsidR="00676E45" w:rsidRDefault="00676E45">
          <w:pPr>
            <w:pStyle w:val="Footer"/>
            <w:rPr>
              <w:sz w:val="16"/>
            </w:rPr>
          </w:pPr>
          <w:r>
            <w:rPr>
              <w:sz w:val="16"/>
            </w:rPr>
            <w:t>http://www.finmin.lt</w:t>
          </w:r>
        </w:p>
      </w:tc>
      <w:tc>
        <w:tcPr>
          <w:tcW w:w="2552" w:type="dxa"/>
        </w:tcPr>
        <w:p w14:paraId="5A9287BA" w14:textId="77777777" w:rsidR="00676E45" w:rsidRDefault="00676E45">
          <w:pPr>
            <w:pStyle w:val="Footer"/>
            <w:rPr>
              <w:sz w:val="16"/>
            </w:rPr>
          </w:pPr>
          <w:r>
            <w:rPr>
              <w:sz w:val="16"/>
            </w:rPr>
            <w:t>LTB Sostinės skyrius, kodas 60111</w:t>
          </w:r>
        </w:p>
      </w:tc>
    </w:tr>
  </w:tbl>
  <w:p w14:paraId="5A9287BC" w14:textId="77777777" w:rsidR="00676E45" w:rsidRDefault="00676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287BE" w14:textId="77777777" w:rsidR="00676E45" w:rsidRPr="00775CB5" w:rsidRDefault="00676E45">
    <w:pPr>
      <w:ind w:right="227"/>
      <w:jc w:val="right"/>
      <w:rPr>
        <w:sz w:val="10"/>
      </w:rPr>
    </w:pPr>
    <w:r w:rsidRPr="00775CB5">
      <w:rPr>
        <w:sz w:val="10"/>
      </w:rPr>
      <w:fldChar w:fldCharType="begin"/>
    </w:r>
    <w:r w:rsidRPr="00775CB5">
      <w:rPr>
        <w:sz w:val="10"/>
      </w:rPr>
      <w:instrText xml:space="preserve"> FILENAME  \* MERGEFORMAT </w:instrText>
    </w:r>
    <w:r w:rsidRPr="00775CB5">
      <w:rPr>
        <w:sz w:val="10"/>
      </w:rPr>
      <w:fldChar w:fldCharType="separate"/>
    </w:r>
    <w:r w:rsidR="00223BA1">
      <w:rPr>
        <w:noProof/>
        <w:sz w:val="10"/>
      </w:rPr>
      <w:t>Dokumentas1</w:t>
    </w:r>
    <w:r w:rsidRPr="00775CB5">
      <w:rPr>
        <w:sz w:val="10"/>
      </w:rPr>
      <w:fldChar w:fldCharType="end"/>
    </w:r>
  </w:p>
  <w:p w14:paraId="5A9287BF" w14:textId="77777777" w:rsidR="001A1D75" w:rsidRPr="00775CB5" w:rsidRDefault="001A1D75">
    <w:pPr>
      <w:ind w:right="227"/>
      <w:jc w:val="right"/>
      <w:rPr>
        <w:sz w:val="10"/>
      </w:rPr>
    </w:pPr>
  </w:p>
  <w:tbl>
    <w:tblPr>
      <w:tblW w:w="0" w:type="auto"/>
      <w:tblInd w:w="102" w:type="dxa"/>
      <w:tblBorders>
        <w:top w:val="single" w:sz="4" w:space="0" w:color="auto"/>
      </w:tblBorders>
      <w:tblLayout w:type="fixed"/>
      <w:tblCellMar>
        <w:left w:w="56" w:type="dxa"/>
        <w:right w:w="56" w:type="dxa"/>
      </w:tblCellMar>
      <w:tblLook w:val="0000" w:firstRow="0" w:lastRow="0" w:firstColumn="0" w:lastColumn="0" w:noHBand="0" w:noVBand="0"/>
    </w:tblPr>
    <w:tblGrid>
      <w:gridCol w:w="3215"/>
      <w:gridCol w:w="1559"/>
      <w:gridCol w:w="1984"/>
      <w:gridCol w:w="2836"/>
    </w:tblGrid>
    <w:tr w:rsidR="00676E45" w:rsidRPr="00775CB5" w14:paraId="5A9287C4" w14:textId="77777777">
      <w:tc>
        <w:tcPr>
          <w:tcW w:w="3215" w:type="dxa"/>
        </w:tcPr>
        <w:p w14:paraId="5A9287C0" w14:textId="77777777" w:rsidR="00676E45" w:rsidRPr="00775CB5" w:rsidRDefault="00D925FB">
          <w:pPr>
            <w:pStyle w:val="Footer"/>
            <w:rPr>
              <w:sz w:val="16"/>
            </w:rPr>
          </w:pPr>
          <w:r>
            <w:rPr>
              <w:sz w:val="16"/>
            </w:rPr>
            <w:t>B</w:t>
          </w:r>
          <w:r w:rsidR="00471A03" w:rsidRPr="00775CB5">
            <w:rPr>
              <w:sz w:val="16"/>
            </w:rPr>
            <w:t>iudžetinė įstaiga</w:t>
          </w:r>
        </w:p>
      </w:tc>
      <w:tc>
        <w:tcPr>
          <w:tcW w:w="1559" w:type="dxa"/>
        </w:tcPr>
        <w:p w14:paraId="5A9287C1" w14:textId="77777777" w:rsidR="00676E45" w:rsidRPr="00775CB5" w:rsidRDefault="00676E45">
          <w:pPr>
            <w:pStyle w:val="Footer"/>
            <w:tabs>
              <w:tab w:val="clear" w:pos="4153"/>
              <w:tab w:val="clear" w:pos="8306"/>
            </w:tabs>
            <w:rPr>
              <w:sz w:val="16"/>
            </w:rPr>
          </w:pPr>
          <w:r w:rsidRPr="00775CB5">
            <w:rPr>
              <w:sz w:val="16"/>
            </w:rPr>
            <w:t>Tel.   (8</w:t>
          </w:r>
          <w:r w:rsidR="001A1D75" w:rsidRPr="00775CB5">
            <w:rPr>
              <w:sz w:val="16"/>
            </w:rPr>
            <w:t xml:space="preserve"> </w:t>
          </w:r>
          <w:r w:rsidRPr="00775CB5">
            <w:rPr>
              <w:sz w:val="16"/>
            </w:rPr>
            <w:t>5) 239 0000</w:t>
          </w:r>
        </w:p>
      </w:tc>
      <w:tc>
        <w:tcPr>
          <w:tcW w:w="1984" w:type="dxa"/>
        </w:tcPr>
        <w:p w14:paraId="5A9287C2" w14:textId="77777777" w:rsidR="00676E45" w:rsidRPr="00775CB5" w:rsidRDefault="00676E45">
          <w:pPr>
            <w:pStyle w:val="Footer"/>
            <w:rPr>
              <w:sz w:val="16"/>
            </w:rPr>
          </w:pPr>
          <w:r w:rsidRPr="00775CB5">
            <w:rPr>
              <w:sz w:val="16"/>
            </w:rPr>
            <w:t>El. paštas finmin@finmin.lt</w:t>
          </w:r>
        </w:p>
      </w:tc>
      <w:tc>
        <w:tcPr>
          <w:tcW w:w="2836" w:type="dxa"/>
        </w:tcPr>
        <w:p w14:paraId="5A9287C3" w14:textId="77777777" w:rsidR="00676E45" w:rsidRPr="00775CB5" w:rsidRDefault="00775CB5">
          <w:pPr>
            <w:pStyle w:val="Footer"/>
            <w:rPr>
              <w:sz w:val="16"/>
            </w:rPr>
          </w:pPr>
          <w:r w:rsidRPr="00775CB5">
            <w:rPr>
              <w:sz w:val="16"/>
            </w:rPr>
            <w:t>Duomenys kaupiami ir saugomi</w:t>
          </w:r>
          <w:r>
            <w:rPr>
              <w:sz w:val="16"/>
            </w:rPr>
            <w:t xml:space="preserve"> </w:t>
          </w:r>
          <w:r w:rsidRPr="00775CB5">
            <w:rPr>
              <w:sz w:val="16"/>
            </w:rPr>
            <w:t>Juridinių</w:t>
          </w:r>
        </w:p>
      </w:tc>
    </w:tr>
    <w:tr w:rsidR="00676E45" w:rsidRPr="00775CB5" w14:paraId="5A9287C9" w14:textId="77777777">
      <w:tc>
        <w:tcPr>
          <w:tcW w:w="3215" w:type="dxa"/>
        </w:tcPr>
        <w:p w14:paraId="5A9287C5" w14:textId="77777777" w:rsidR="00676E45" w:rsidRPr="00775CB5" w:rsidRDefault="00F82BF7">
          <w:pPr>
            <w:pStyle w:val="Footer"/>
            <w:rPr>
              <w:sz w:val="16"/>
            </w:rPr>
          </w:pPr>
          <w:r>
            <w:rPr>
              <w:sz w:val="16"/>
            </w:rPr>
            <w:t xml:space="preserve">Lukiškių </w:t>
          </w:r>
          <w:r w:rsidR="00C42950">
            <w:rPr>
              <w:sz w:val="16"/>
            </w:rPr>
            <w:t xml:space="preserve">g. </w:t>
          </w:r>
          <w:r w:rsidR="00676E45" w:rsidRPr="00775CB5">
            <w:rPr>
              <w:sz w:val="16"/>
            </w:rPr>
            <w:t>2, LT-01512 Vilnius</w:t>
          </w:r>
        </w:p>
      </w:tc>
      <w:tc>
        <w:tcPr>
          <w:tcW w:w="1559" w:type="dxa"/>
        </w:tcPr>
        <w:p w14:paraId="5A9287C6" w14:textId="77777777" w:rsidR="00676E45" w:rsidRPr="00775CB5" w:rsidRDefault="00676E45">
          <w:pPr>
            <w:pStyle w:val="Footer"/>
            <w:rPr>
              <w:sz w:val="16"/>
            </w:rPr>
          </w:pPr>
          <w:r w:rsidRPr="00775CB5">
            <w:rPr>
              <w:sz w:val="16"/>
            </w:rPr>
            <w:t>Faks. (8</w:t>
          </w:r>
          <w:r w:rsidR="001A1D75" w:rsidRPr="00775CB5">
            <w:rPr>
              <w:sz w:val="16"/>
            </w:rPr>
            <w:t xml:space="preserve"> </w:t>
          </w:r>
          <w:r w:rsidRPr="00775CB5">
            <w:rPr>
              <w:sz w:val="16"/>
            </w:rPr>
            <w:t>5) 279 1481</w:t>
          </w:r>
        </w:p>
      </w:tc>
      <w:tc>
        <w:tcPr>
          <w:tcW w:w="1984" w:type="dxa"/>
        </w:tcPr>
        <w:p w14:paraId="5A9287C7" w14:textId="77777777" w:rsidR="00676E45" w:rsidRPr="00775CB5" w:rsidRDefault="00676E45">
          <w:pPr>
            <w:pStyle w:val="Footer"/>
            <w:rPr>
              <w:sz w:val="16"/>
            </w:rPr>
          </w:pPr>
          <w:r w:rsidRPr="00775CB5">
            <w:rPr>
              <w:sz w:val="16"/>
            </w:rPr>
            <w:t>http://www.finmin.lt</w:t>
          </w:r>
        </w:p>
      </w:tc>
      <w:tc>
        <w:tcPr>
          <w:tcW w:w="2836" w:type="dxa"/>
        </w:tcPr>
        <w:p w14:paraId="5A9287C8" w14:textId="77777777" w:rsidR="00676E45" w:rsidRPr="00775CB5" w:rsidRDefault="00775CB5" w:rsidP="00775CB5">
          <w:pPr>
            <w:pStyle w:val="Footer"/>
            <w:rPr>
              <w:sz w:val="16"/>
            </w:rPr>
          </w:pPr>
          <w:r w:rsidRPr="00775CB5">
            <w:rPr>
              <w:sz w:val="16"/>
            </w:rPr>
            <w:t>asmenų registre</w:t>
          </w:r>
          <w:r>
            <w:rPr>
              <w:sz w:val="16"/>
            </w:rPr>
            <w:t>, k</w:t>
          </w:r>
          <w:r w:rsidRPr="00775CB5">
            <w:rPr>
              <w:sz w:val="16"/>
            </w:rPr>
            <w:t>odas 288601650</w:t>
          </w:r>
        </w:p>
      </w:tc>
    </w:tr>
  </w:tbl>
  <w:p w14:paraId="5A9287CA" w14:textId="77777777" w:rsidR="00676E45" w:rsidRPr="00775CB5" w:rsidRDefault="00676E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287CB" w14:textId="77777777" w:rsidR="00676E45" w:rsidRDefault="00676E45">
    <w:pPr>
      <w:ind w:right="22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E8D76" w14:textId="77777777" w:rsidR="004849D8" w:rsidRDefault="004849D8">
      <w:r>
        <w:separator/>
      </w:r>
    </w:p>
  </w:footnote>
  <w:footnote w:type="continuationSeparator" w:id="0">
    <w:p w14:paraId="5F793E13" w14:textId="77777777" w:rsidR="004849D8" w:rsidRDefault="00484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287AD" w14:textId="77777777" w:rsidR="00676E45" w:rsidRDefault="00676E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9287AE" w14:textId="77777777" w:rsidR="00676E45" w:rsidRDefault="00676E4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287AF" w14:textId="77777777" w:rsidR="00676E45" w:rsidRDefault="00676E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6D0C">
      <w:rPr>
        <w:rStyle w:val="PageNumber"/>
        <w:noProof/>
      </w:rPr>
      <w:t>3</w:t>
    </w:r>
    <w:r>
      <w:rPr>
        <w:rStyle w:val="PageNumber"/>
      </w:rPr>
      <w:fldChar w:fldCharType="end"/>
    </w:r>
  </w:p>
  <w:p w14:paraId="5A9287B0" w14:textId="77777777" w:rsidR="00676E45" w:rsidRDefault="00676E4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287BD" w14:textId="77777777" w:rsidR="00676E45" w:rsidRDefault="00676E45">
    <w:pPr>
      <w:pStyle w:val="Header"/>
      <w:ind w:right="360"/>
    </w:pPr>
    <w: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6548D"/>
    <w:multiLevelType w:val="hybridMultilevel"/>
    <w:tmpl w:val="7730D370"/>
    <w:lvl w:ilvl="0" w:tplc="171497EA">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2792FA6"/>
    <w:multiLevelType w:val="hybridMultilevel"/>
    <w:tmpl w:val="42D2D84A"/>
    <w:lvl w:ilvl="0" w:tplc="4F40A28C">
      <w:start w:val="1"/>
      <w:numFmt w:val="bullet"/>
      <w:lvlText w:val="–"/>
      <w:lvlJc w:val="left"/>
      <w:pPr>
        <w:ind w:left="1069" w:hanging="360"/>
      </w:pPr>
      <w:rPr>
        <w:rFonts w:ascii="Times New Roman" w:eastAsiaTheme="minorHAnsi" w:hAnsi="Times New Roman" w:cs="Times New Roman" w:hint="default"/>
        <w:color w:val="auto"/>
      </w:rPr>
    </w:lvl>
    <w:lvl w:ilvl="1" w:tplc="04270003">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 w15:restartNumberingAfterBreak="0">
    <w:nsid w:val="27CA1D07"/>
    <w:multiLevelType w:val="hybridMultilevel"/>
    <w:tmpl w:val="97589996"/>
    <w:lvl w:ilvl="0" w:tplc="4C4699B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43304D84"/>
    <w:multiLevelType w:val="hybridMultilevel"/>
    <w:tmpl w:val="F6CCA05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FF92240"/>
    <w:multiLevelType w:val="hybridMultilevel"/>
    <w:tmpl w:val="6C461D0A"/>
    <w:lvl w:ilvl="0" w:tplc="03CAD6C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662027DD"/>
    <w:multiLevelType w:val="hybridMultilevel"/>
    <w:tmpl w:val="09D6903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3C469C5"/>
    <w:multiLevelType w:val="hybridMultilevel"/>
    <w:tmpl w:val="008074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6990FB3"/>
    <w:multiLevelType w:val="hybridMultilevel"/>
    <w:tmpl w:val="77267906"/>
    <w:lvl w:ilvl="0" w:tplc="4F40A28C">
      <w:start w:val="1"/>
      <w:numFmt w:val="bullet"/>
      <w:lvlText w:val="–"/>
      <w:lvlJc w:val="left"/>
      <w:pPr>
        <w:ind w:left="927" w:hanging="360"/>
      </w:pPr>
      <w:rPr>
        <w:rFonts w:ascii="Times New Roman" w:eastAsiaTheme="minorHAnsi" w:hAnsi="Times New Roman" w:cs="Times New Roman" w:hint="default"/>
        <w:color w:val="auto"/>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8" w15:restartNumberingAfterBreak="0">
    <w:nsid w:val="7A9509D7"/>
    <w:multiLevelType w:val="hybridMultilevel"/>
    <w:tmpl w:val="87649FFE"/>
    <w:lvl w:ilvl="0" w:tplc="6BFE68F8">
      <w:start w:val="1"/>
      <w:numFmt w:val="bullet"/>
      <w:lvlText w:val="-"/>
      <w:lvlJc w:val="left"/>
      <w:pPr>
        <w:ind w:left="927" w:hanging="360"/>
      </w:pPr>
      <w:rPr>
        <w:rFonts w:ascii="Times New Roman" w:eastAsiaTheme="minorHAns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4"/>
  </w:num>
  <w:num w:numId="6">
    <w:abstractNumId w:val="6"/>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6nGTkwBIrG/qxs/d23jmJ9QxLSk=" w:salt="3uGt5vzrnh+YRbyv79bQ0A=="/>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BA1"/>
    <w:rsid w:val="000118EB"/>
    <w:rsid w:val="0006460C"/>
    <w:rsid w:val="00066BC1"/>
    <w:rsid w:val="00076760"/>
    <w:rsid w:val="000C38FC"/>
    <w:rsid w:val="000D4A12"/>
    <w:rsid w:val="000D599D"/>
    <w:rsid w:val="000E6336"/>
    <w:rsid w:val="000E66F2"/>
    <w:rsid w:val="000F620A"/>
    <w:rsid w:val="001021F5"/>
    <w:rsid w:val="00106272"/>
    <w:rsid w:val="001216C6"/>
    <w:rsid w:val="001303BC"/>
    <w:rsid w:val="001349D0"/>
    <w:rsid w:val="00144A3E"/>
    <w:rsid w:val="00150DDF"/>
    <w:rsid w:val="00164242"/>
    <w:rsid w:val="00184518"/>
    <w:rsid w:val="00186C5E"/>
    <w:rsid w:val="0018776E"/>
    <w:rsid w:val="001A1D75"/>
    <w:rsid w:val="001B25B8"/>
    <w:rsid w:val="001C1100"/>
    <w:rsid w:val="001E397B"/>
    <w:rsid w:val="002149E0"/>
    <w:rsid w:val="00214CDC"/>
    <w:rsid w:val="00215B65"/>
    <w:rsid w:val="002176A3"/>
    <w:rsid w:val="00223723"/>
    <w:rsid w:val="00223BA1"/>
    <w:rsid w:val="0022608A"/>
    <w:rsid w:val="00227027"/>
    <w:rsid w:val="002308BC"/>
    <w:rsid w:val="00230DEB"/>
    <w:rsid w:val="0025434A"/>
    <w:rsid w:val="00276CF7"/>
    <w:rsid w:val="0028647B"/>
    <w:rsid w:val="0029354E"/>
    <w:rsid w:val="002A5E34"/>
    <w:rsid w:val="002B0203"/>
    <w:rsid w:val="002B2632"/>
    <w:rsid w:val="002B7CE2"/>
    <w:rsid w:val="002C382B"/>
    <w:rsid w:val="002E6FA1"/>
    <w:rsid w:val="002F325D"/>
    <w:rsid w:val="00310A7E"/>
    <w:rsid w:val="00312041"/>
    <w:rsid w:val="00315C4B"/>
    <w:rsid w:val="00317D73"/>
    <w:rsid w:val="00334E44"/>
    <w:rsid w:val="00343A72"/>
    <w:rsid w:val="00343E14"/>
    <w:rsid w:val="00366896"/>
    <w:rsid w:val="003860D6"/>
    <w:rsid w:val="00390EEB"/>
    <w:rsid w:val="003916AD"/>
    <w:rsid w:val="003A0D91"/>
    <w:rsid w:val="003A466B"/>
    <w:rsid w:val="003D1DF1"/>
    <w:rsid w:val="003D7384"/>
    <w:rsid w:val="003F75D8"/>
    <w:rsid w:val="00463CCB"/>
    <w:rsid w:val="00471A03"/>
    <w:rsid w:val="004849D8"/>
    <w:rsid w:val="004856BF"/>
    <w:rsid w:val="004A2033"/>
    <w:rsid w:val="004D647D"/>
    <w:rsid w:val="004F04DF"/>
    <w:rsid w:val="004F1AE4"/>
    <w:rsid w:val="0050560A"/>
    <w:rsid w:val="00524AAC"/>
    <w:rsid w:val="005457D0"/>
    <w:rsid w:val="005547CD"/>
    <w:rsid w:val="00586F38"/>
    <w:rsid w:val="0059219E"/>
    <w:rsid w:val="005B6D0C"/>
    <w:rsid w:val="005E150D"/>
    <w:rsid w:val="005F7A8D"/>
    <w:rsid w:val="00607612"/>
    <w:rsid w:val="00621366"/>
    <w:rsid w:val="00636168"/>
    <w:rsid w:val="00676E45"/>
    <w:rsid w:val="006A4F33"/>
    <w:rsid w:val="006B0BB0"/>
    <w:rsid w:val="006D5FAD"/>
    <w:rsid w:val="006F5CCA"/>
    <w:rsid w:val="00732BE0"/>
    <w:rsid w:val="007341CF"/>
    <w:rsid w:val="00741C12"/>
    <w:rsid w:val="00743411"/>
    <w:rsid w:val="00751BB1"/>
    <w:rsid w:val="00772638"/>
    <w:rsid w:val="00775CB5"/>
    <w:rsid w:val="00781B0A"/>
    <w:rsid w:val="007A097E"/>
    <w:rsid w:val="007A71C3"/>
    <w:rsid w:val="007B1827"/>
    <w:rsid w:val="007B6102"/>
    <w:rsid w:val="007C3EEE"/>
    <w:rsid w:val="007D3DD9"/>
    <w:rsid w:val="0080493D"/>
    <w:rsid w:val="008151E8"/>
    <w:rsid w:val="008266BA"/>
    <w:rsid w:val="00827194"/>
    <w:rsid w:val="008361AA"/>
    <w:rsid w:val="00840BF3"/>
    <w:rsid w:val="008422CE"/>
    <w:rsid w:val="008616B1"/>
    <w:rsid w:val="00874B06"/>
    <w:rsid w:val="00892138"/>
    <w:rsid w:val="008C522D"/>
    <w:rsid w:val="0096013A"/>
    <w:rsid w:val="00993A45"/>
    <w:rsid w:val="009A2591"/>
    <w:rsid w:val="009A4828"/>
    <w:rsid w:val="009D2687"/>
    <w:rsid w:val="009D50BE"/>
    <w:rsid w:val="009D7311"/>
    <w:rsid w:val="009E6D44"/>
    <w:rsid w:val="00A136CB"/>
    <w:rsid w:val="00A201FF"/>
    <w:rsid w:val="00A97DCF"/>
    <w:rsid w:val="00AB6FB6"/>
    <w:rsid w:val="00AC51AB"/>
    <w:rsid w:val="00AD52AE"/>
    <w:rsid w:val="00AE35C4"/>
    <w:rsid w:val="00AE3671"/>
    <w:rsid w:val="00AE641A"/>
    <w:rsid w:val="00B03726"/>
    <w:rsid w:val="00B11530"/>
    <w:rsid w:val="00B160DB"/>
    <w:rsid w:val="00B2606D"/>
    <w:rsid w:val="00B3172C"/>
    <w:rsid w:val="00B62CC5"/>
    <w:rsid w:val="00BD3865"/>
    <w:rsid w:val="00BE690B"/>
    <w:rsid w:val="00C230C2"/>
    <w:rsid w:val="00C42950"/>
    <w:rsid w:val="00C612D0"/>
    <w:rsid w:val="00C62271"/>
    <w:rsid w:val="00CA53B5"/>
    <w:rsid w:val="00CA6BA9"/>
    <w:rsid w:val="00CA7055"/>
    <w:rsid w:val="00CF10DC"/>
    <w:rsid w:val="00CF662A"/>
    <w:rsid w:val="00D21970"/>
    <w:rsid w:val="00D728FE"/>
    <w:rsid w:val="00D8727C"/>
    <w:rsid w:val="00D925FB"/>
    <w:rsid w:val="00D92677"/>
    <w:rsid w:val="00D96253"/>
    <w:rsid w:val="00DA1DD3"/>
    <w:rsid w:val="00DA603C"/>
    <w:rsid w:val="00DA6D32"/>
    <w:rsid w:val="00DC391D"/>
    <w:rsid w:val="00DC5004"/>
    <w:rsid w:val="00DF3C32"/>
    <w:rsid w:val="00E221E9"/>
    <w:rsid w:val="00E3009C"/>
    <w:rsid w:val="00E3103C"/>
    <w:rsid w:val="00E3261D"/>
    <w:rsid w:val="00E42BA8"/>
    <w:rsid w:val="00E43B49"/>
    <w:rsid w:val="00E57395"/>
    <w:rsid w:val="00E71BC2"/>
    <w:rsid w:val="00EC72B9"/>
    <w:rsid w:val="00ED6967"/>
    <w:rsid w:val="00EE32E8"/>
    <w:rsid w:val="00EF20A7"/>
    <w:rsid w:val="00EF23C5"/>
    <w:rsid w:val="00EF547E"/>
    <w:rsid w:val="00F0142E"/>
    <w:rsid w:val="00F23A6E"/>
    <w:rsid w:val="00F24EC4"/>
    <w:rsid w:val="00F5426D"/>
    <w:rsid w:val="00F64FDA"/>
    <w:rsid w:val="00F66332"/>
    <w:rsid w:val="00F82BF7"/>
    <w:rsid w:val="00F86BB3"/>
    <w:rsid w:val="00FA05DB"/>
    <w:rsid w:val="00FB0D4E"/>
    <w:rsid w:val="00FE7F6A"/>
    <w:rsid w:val="00FF23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28762"/>
  <w15:docId w15:val="{43AB4E2E-F13D-4A8E-9E85-019DD7E2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732BE0"/>
    <w:rPr>
      <w:rFonts w:ascii="Tahoma" w:hAnsi="Tahoma" w:cs="Tahoma"/>
      <w:sz w:val="16"/>
      <w:szCs w:val="16"/>
    </w:rPr>
  </w:style>
  <w:style w:type="character" w:customStyle="1" w:styleId="BalloonTextChar">
    <w:name w:val="Balloon Text Char"/>
    <w:link w:val="BalloonText"/>
    <w:uiPriority w:val="99"/>
    <w:semiHidden/>
    <w:rsid w:val="00732BE0"/>
    <w:rPr>
      <w:rFonts w:ascii="Tahoma" w:hAnsi="Tahoma" w:cs="Tahoma"/>
      <w:sz w:val="16"/>
      <w:szCs w:val="16"/>
    </w:rPr>
  </w:style>
  <w:style w:type="character" w:styleId="Hyperlink">
    <w:name w:val="Hyperlink"/>
    <w:basedOn w:val="DefaultParagraphFont"/>
    <w:uiPriority w:val="99"/>
    <w:unhideWhenUsed/>
    <w:rsid w:val="00223BA1"/>
    <w:rPr>
      <w:color w:val="0000FF" w:themeColor="hyperlink"/>
      <w:u w:val="single"/>
    </w:rPr>
  </w:style>
  <w:style w:type="character" w:customStyle="1" w:styleId="st1">
    <w:name w:val="st1"/>
    <w:basedOn w:val="DefaultParagraphFont"/>
    <w:rsid w:val="00524AAC"/>
  </w:style>
  <w:style w:type="paragraph" w:styleId="FootnoteText">
    <w:name w:val="footnote text"/>
    <w:basedOn w:val="Normal"/>
    <w:link w:val="FootnoteTextChar"/>
    <w:uiPriority w:val="99"/>
    <w:semiHidden/>
    <w:unhideWhenUsed/>
    <w:rsid w:val="0059219E"/>
    <w:rPr>
      <w:sz w:val="20"/>
      <w:lang w:eastAsia="en-US"/>
    </w:rPr>
  </w:style>
  <w:style w:type="character" w:customStyle="1" w:styleId="FootnoteTextChar">
    <w:name w:val="Footnote Text Char"/>
    <w:basedOn w:val="DefaultParagraphFont"/>
    <w:link w:val="FootnoteText"/>
    <w:uiPriority w:val="99"/>
    <w:semiHidden/>
    <w:rsid w:val="0059219E"/>
    <w:rPr>
      <w:lang w:eastAsia="en-US"/>
    </w:rPr>
  </w:style>
  <w:style w:type="character" w:styleId="FootnoteReference">
    <w:name w:val="footnote reference"/>
    <w:basedOn w:val="DefaultParagraphFont"/>
    <w:uiPriority w:val="99"/>
    <w:semiHidden/>
    <w:unhideWhenUsed/>
    <w:rsid w:val="0059219E"/>
    <w:rPr>
      <w:vertAlign w:val="superscript"/>
    </w:rPr>
  </w:style>
  <w:style w:type="paragraph" w:styleId="ListParagraph">
    <w:name w:val="List Paragraph"/>
    <w:basedOn w:val="Normal"/>
    <w:uiPriority w:val="34"/>
    <w:qFormat/>
    <w:rsid w:val="00E3009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har">
    <w:name w:val="Char"/>
    <w:basedOn w:val="Normal"/>
    <w:rsid w:val="00751BB1"/>
    <w:pPr>
      <w:spacing w:after="160" w:line="240" w:lineRule="exact"/>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zivile.kvedyte@finmin.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19F4B-C0C0-4CC3-90A4-D0373324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5587</Words>
  <Characters>3185</Characters>
  <Application>Microsoft Office Word</Application>
  <DocSecurity>8</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FM</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Vytenis Čepė</dc:creator>
  <cp:lastModifiedBy>LUS-mobile</cp:lastModifiedBy>
  <cp:revision>2</cp:revision>
  <cp:lastPrinted>2017-02-13T14:05:00Z</cp:lastPrinted>
  <dcterms:created xsi:type="dcterms:W3CDTF">2021-01-18T09:07:00Z</dcterms:created>
  <dcterms:modified xsi:type="dcterms:W3CDTF">2021-01-18T09:07:00Z</dcterms:modified>
</cp:coreProperties>
</file>